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0C7F" w14:textId="20A86989" w:rsidR="00A46C9A" w:rsidRDefault="00A46C9A" w:rsidP="00A46C9A">
      <w:pPr>
        <w:pStyle w:val="Heading2"/>
      </w:pPr>
      <w:r>
        <w:t>Details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20"/>
      </w:tblGrid>
      <w:tr w:rsidR="00A46C9A" w:rsidRPr="00A46C9A" w14:paraId="2196154B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B7B7B6"/>
              <w:right w:val="nil"/>
            </w:tcBorders>
            <w:shd w:val="clear" w:color="auto" w:fill="D9DFE5"/>
            <w:vAlign w:val="center"/>
            <w:hideMark/>
          </w:tcPr>
          <w:p w14:paraId="6853EC51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lang w:val="en-US"/>
              </w:rPr>
              <w:t>Resource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B7B7B6"/>
              <w:right w:val="nil"/>
            </w:tcBorders>
            <w:vAlign w:val="center"/>
            <w:hideMark/>
          </w:tcPr>
          <w:p w14:paraId="769DDF8D" w14:textId="2F915684" w:rsidR="00A46C9A" w:rsidRPr="00A46C9A" w:rsidRDefault="00A46C9A" w:rsidP="00A46C9A">
            <w:r w:rsidRPr="00A46C9A">
              <w:t>Telehealth Consultation Checklist</w:t>
            </w:r>
          </w:p>
        </w:tc>
      </w:tr>
      <w:tr w:rsidR="00A46C9A" w:rsidRPr="00A46C9A" w14:paraId="40773AA9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shd w:val="clear" w:color="auto" w:fill="D9DFE5"/>
            <w:vAlign w:val="center"/>
            <w:hideMark/>
          </w:tcPr>
          <w:p w14:paraId="15BB9579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lang w:val="en-US"/>
              </w:rPr>
              <w:t>Purpose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vAlign w:val="center"/>
            <w:hideMark/>
          </w:tcPr>
          <w:p w14:paraId="5861F169" w14:textId="08F8A024" w:rsidR="00A46C9A" w:rsidRPr="00A46C9A" w:rsidRDefault="00A46C9A" w:rsidP="00A46C9A">
            <w:r w:rsidRPr="00A46C9A">
              <w:t>A step-by-step checklist for staff to follow when arranging, preparing for, conducting, and following up a telehealth consultation. The "Location of Process/Guideline" column allows your home to record where supporting documents are kept, so staff can locate them easily.</w:t>
            </w:r>
          </w:p>
        </w:tc>
      </w:tr>
      <w:tr w:rsidR="00A46C9A" w:rsidRPr="00A46C9A" w14:paraId="63BCCA98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shd w:val="clear" w:color="auto" w:fill="D9DFE5"/>
            <w:vAlign w:val="center"/>
            <w:hideMark/>
          </w:tcPr>
          <w:p w14:paraId="3912465A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lang w:val="en-US"/>
              </w:rPr>
              <w:t>How to use this resource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vAlign w:val="center"/>
            <w:hideMark/>
          </w:tcPr>
          <w:p w14:paraId="0D21C630" w14:textId="76D48088" w:rsidR="00A46C9A" w:rsidRPr="00A46C9A" w:rsidRDefault="00A46C9A" w:rsidP="00A46C9A">
            <w:r w:rsidRPr="00A46C9A">
              <w:t>Adapt this checklist to reflect your home's processes and keep a copy with your telehealth equipment for staff to reference. Cross-reference the "Location" column with your Telehealth Policy &amp; Procedures Guide (TH01–TH08) where relevant.</w:t>
            </w:r>
          </w:p>
        </w:tc>
      </w:tr>
      <w:tr w:rsidR="00A46C9A" w:rsidRPr="00A46C9A" w14:paraId="2E6B63AA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shd w:val="clear" w:color="auto" w:fill="D9DFE5"/>
            <w:vAlign w:val="center"/>
            <w:hideMark/>
          </w:tcPr>
          <w:p w14:paraId="5CB51B09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lang w:val="en-US"/>
              </w:rPr>
              <w:t>Disclaimer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vAlign w:val="center"/>
            <w:hideMark/>
          </w:tcPr>
          <w:p w14:paraId="2ADAFEBD" w14:textId="77777777" w:rsidR="00A46C9A" w:rsidRPr="00A46C9A" w:rsidRDefault="00A46C9A" w:rsidP="00A46C9A">
            <w:r w:rsidRPr="00A46C9A">
              <w:t>This resource is provided for guidance only and is not a substitute for professional, clinical, or legal advice. </w:t>
            </w:r>
          </w:p>
        </w:tc>
      </w:tr>
      <w:tr w:rsidR="00A46C9A" w:rsidRPr="00A46C9A" w14:paraId="02346FF5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shd w:val="clear" w:color="auto" w:fill="D9DFE5"/>
            <w:hideMark/>
          </w:tcPr>
          <w:p w14:paraId="68DB43C7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lang w:val="en-US"/>
              </w:rPr>
              <w:t>Adaptation </w:t>
            </w:r>
            <w:proofErr w:type="gramStart"/>
            <w:r w:rsidRPr="00A46C9A">
              <w:rPr>
                <w:lang w:val="en-US"/>
              </w:rPr>
              <w:t>note</w:t>
            </w:r>
            <w:proofErr w:type="gramEnd"/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hideMark/>
          </w:tcPr>
          <w:p w14:paraId="3EC40D06" w14:textId="77777777" w:rsidR="00A46C9A" w:rsidRPr="00A46C9A" w:rsidRDefault="00A46C9A" w:rsidP="00A46C9A">
            <w:r w:rsidRPr="00A46C9A">
              <w:t>Adapted from materials originally developed by Country to Coast QLD Primary Health Network. </w:t>
            </w:r>
          </w:p>
        </w:tc>
      </w:tr>
      <w:tr w:rsidR="00A46C9A" w:rsidRPr="00A46C9A" w14:paraId="4BCCAF2A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shd w:val="clear" w:color="auto" w:fill="D9DFE5"/>
            <w:vAlign w:val="center"/>
            <w:hideMark/>
          </w:tcPr>
          <w:p w14:paraId="30B7B623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b/>
                <w:bCs/>
                <w:lang w:val="en-US"/>
              </w:rPr>
              <w:t>Version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single" w:sz="4" w:space="0" w:color="B7B7B6"/>
              <w:right w:val="nil"/>
            </w:tcBorders>
            <w:vAlign w:val="center"/>
            <w:hideMark/>
          </w:tcPr>
          <w:p w14:paraId="12D33609" w14:textId="77777777" w:rsidR="00A46C9A" w:rsidRPr="00A46C9A" w:rsidRDefault="00A46C9A" w:rsidP="00A46C9A">
            <w:r w:rsidRPr="00A46C9A">
              <w:t>1.0 </w:t>
            </w:r>
          </w:p>
        </w:tc>
      </w:tr>
      <w:tr w:rsidR="00A46C9A" w:rsidRPr="00A46C9A" w14:paraId="2895454C" w14:textId="77777777">
        <w:trPr>
          <w:trHeight w:val="300"/>
        </w:trPr>
        <w:tc>
          <w:tcPr>
            <w:tcW w:w="1980" w:type="dxa"/>
            <w:tcBorders>
              <w:top w:val="single" w:sz="4" w:space="0" w:color="B7B7B6"/>
              <w:left w:val="nil"/>
              <w:bottom w:val="nil"/>
              <w:right w:val="nil"/>
            </w:tcBorders>
            <w:shd w:val="clear" w:color="auto" w:fill="D9DFE5"/>
            <w:vAlign w:val="center"/>
            <w:hideMark/>
          </w:tcPr>
          <w:p w14:paraId="0668CB6F" w14:textId="77777777" w:rsidR="00A46C9A" w:rsidRPr="00A46C9A" w:rsidRDefault="00A46C9A" w:rsidP="00A46C9A">
            <w:pPr>
              <w:rPr>
                <w:b/>
                <w:bCs/>
              </w:rPr>
            </w:pPr>
            <w:r w:rsidRPr="00A46C9A">
              <w:rPr>
                <w:b/>
                <w:bCs/>
                <w:lang w:val="en-US"/>
              </w:rPr>
              <w:t>Date</w:t>
            </w:r>
            <w:r w:rsidRPr="00A46C9A">
              <w:rPr>
                <w:b/>
                <w:bCs/>
              </w:rPr>
              <w:t> </w:t>
            </w:r>
          </w:p>
        </w:tc>
        <w:tc>
          <w:tcPr>
            <w:tcW w:w="7320" w:type="dxa"/>
            <w:tcBorders>
              <w:top w:val="single" w:sz="4" w:space="0" w:color="B7B7B6"/>
              <w:left w:val="nil"/>
              <w:bottom w:val="nil"/>
              <w:right w:val="nil"/>
            </w:tcBorders>
            <w:vAlign w:val="center"/>
            <w:hideMark/>
          </w:tcPr>
          <w:p w14:paraId="7D510762" w14:textId="77777777" w:rsidR="00A46C9A" w:rsidRPr="00A46C9A" w:rsidRDefault="00A46C9A" w:rsidP="00A46C9A">
            <w:r w:rsidRPr="00A46C9A">
              <w:t>March 2026 </w:t>
            </w:r>
          </w:p>
        </w:tc>
      </w:tr>
    </w:tbl>
    <w:p w14:paraId="376D6E41" w14:textId="77777777" w:rsidR="00A46C9A" w:rsidRPr="00A46C9A" w:rsidRDefault="00A46C9A" w:rsidP="00A46C9A">
      <w:pPr>
        <w:rPr>
          <w:lang w:val="en-US"/>
        </w:rPr>
      </w:pPr>
    </w:p>
    <w:p w14:paraId="23F72E8B" w14:textId="77777777" w:rsidR="00A46C9A" w:rsidRDefault="00A46C9A" w:rsidP="00A46C9A"/>
    <w:tbl>
      <w:tblPr>
        <w:tblW w:w="9658" w:type="dxa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378"/>
        <w:gridCol w:w="2697"/>
      </w:tblGrid>
      <w:tr w:rsidR="00A46C9A" w:rsidRPr="008069D3" w14:paraId="4DF02FF0" w14:textId="77777777" w:rsidTr="000061A3">
        <w:trPr>
          <w:trHeight w:val="300"/>
        </w:trPr>
        <w:tc>
          <w:tcPr>
            <w:tcW w:w="583" w:type="dxa"/>
            <w:shd w:val="clear" w:color="auto" w:fill="CCDDEE"/>
            <w:hideMark/>
          </w:tcPr>
          <w:p w14:paraId="5CC14C22" w14:textId="77777777" w:rsidR="00A46C9A" w:rsidRPr="00345D32" w:rsidRDefault="00A46C9A" w:rsidP="006362C8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345D32"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  <w:t>ü</w:t>
            </w:r>
          </w:p>
        </w:tc>
        <w:tc>
          <w:tcPr>
            <w:tcW w:w="6378" w:type="dxa"/>
            <w:shd w:val="clear" w:color="auto" w:fill="CCDDEE"/>
            <w:hideMark/>
          </w:tcPr>
          <w:p w14:paraId="7E9292AF" w14:textId="77777777" w:rsidR="00A46C9A" w:rsidRPr="00544547" w:rsidRDefault="00A46C9A" w:rsidP="006362C8">
            <w:pPr>
              <w:pStyle w:val="Heading3"/>
              <w:spacing w:after="120"/>
              <w:jc w:val="center"/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</w:pPr>
            <w:bookmarkStart w:id="0" w:name="_Toc135660433"/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>Arranging a Telehealth Consultation</w:t>
            </w:r>
            <w:bookmarkEnd w:id="0"/>
          </w:p>
        </w:tc>
        <w:tc>
          <w:tcPr>
            <w:tcW w:w="2694" w:type="dxa"/>
            <w:shd w:val="clear" w:color="auto" w:fill="CCDDEE"/>
            <w:hideMark/>
          </w:tcPr>
          <w:p w14:paraId="581237B6" w14:textId="77777777" w:rsidR="00A46C9A" w:rsidRPr="00544547" w:rsidRDefault="00A46C9A" w:rsidP="006362C8">
            <w:pPr>
              <w:jc w:val="center"/>
              <w:textAlignment w:val="baseline"/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544547"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  <w:t>Location of Process/Guideline</w:t>
            </w:r>
          </w:p>
        </w:tc>
      </w:tr>
      <w:tr w:rsidR="00A46C9A" w:rsidRPr="008069D3" w14:paraId="3A27E592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-16880526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126BD678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4E0F699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Review the facility’s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protocols </w:t>
            </w:r>
          </w:p>
          <w:p w14:paraId="4053E329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clinical needs, appointments, equipment)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6D3E7309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 xml:space="preserve">Example: </w:t>
            </w:r>
          </w:p>
          <w:p w14:paraId="0FD003A1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Policy and Procedures (P&amp;P)</w:t>
            </w:r>
          </w:p>
        </w:tc>
      </w:tr>
      <w:tr w:rsidR="00A46C9A" w:rsidRPr="008069D3" w14:paraId="12FD0E7D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9647826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279EE0B7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151F9BA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Check the facility’s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resources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78A43BD2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contact list, resident information)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4F97F0C8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 </w:t>
            </w:r>
          </w:p>
        </w:tc>
      </w:tr>
      <w:tr w:rsidR="00A46C9A" w:rsidRPr="008069D3" w14:paraId="70A859AF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1724172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11217F1F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4D167418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Confirm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appropriateness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of telehealth consultation for resident on this occasion </w:t>
            </w:r>
          </w:p>
        </w:tc>
        <w:tc>
          <w:tcPr>
            <w:tcW w:w="2694" w:type="dxa"/>
            <w:hideMark/>
          </w:tcPr>
          <w:p w14:paraId="7170A085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Example: P&amp;P Manual</w:t>
            </w:r>
          </w:p>
          <w:p w14:paraId="08CB0C6D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 xml:space="preserve">Procedure Number </w:t>
            </w:r>
            <w:r w:rsidRPr="000061A3">
              <w:rPr>
                <w:rFonts w:eastAsia="Times New Roman" w:cs="Open Sans"/>
                <w:color w:val="2B579A"/>
                <w:sz w:val="16"/>
                <w:szCs w:val="16"/>
                <w:shd w:val="clear" w:color="auto" w:fill="E6E6E6"/>
                <w:lang w:eastAsia="en-AU"/>
              </w:rPr>
              <w:fldChar w:fldCharType="begin"/>
            </w: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instrText xml:space="preserve"> REF TH02 \h  \* MERGEFORMAT </w:instrText>
            </w:r>
            <w:r w:rsidRPr="000061A3">
              <w:rPr>
                <w:rFonts w:eastAsia="Times New Roman" w:cs="Open Sans"/>
                <w:color w:val="2B579A"/>
                <w:sz w:val="16"/>
                <w:szCs w:val="16"/>
                <w:shd w:val="clear" w:color="auto" w:fill="E6E6E6"/>
                <w:lang w:eastAsia="en-AU"/>
              </w:rPr>
            </w:r>
            <w:r w:rsidRPr="000061A3">
              <w:rPr>
                <w:rFonts w:eastAsia="Times New Roman" w:cs="Open Sans"/>
                <w:color w:val="2B579A"/>
                <w:sz w:val="16"/>
                <w:szCs w:val="16"/>
                <w:shd w:val="clear" w:color="auto" w:fill="E6E6E6"/>
                <w:lang w:eastAsia="en-AU"/>
              </w:rPr>
              <w:fldChar w:fldCharType="separate"/>
            </w:r>
            <w:r w:rsidRPr="000061A3">
              <w:rPr>
                <w:rFonts w:cs="Open Sans"/>
                <w:b/>
                <w:bCs/>
                <w:sz w:val="16"/>
                <w:szCs w:val="16"/>
              </w:rPr>
              <w:t>TH02</w:t>
            </w:r>
            <w:r w:rsidRPr="000061A3">
              <w:rPr>
                <w:rFonts w:eastAsia="Times New Roman" w:cs="Open Sans"/>
                <w:color w:val="2B579A"/>
                <w:sz w:val="16"/>
                <w:szCs w:val="16"/>
                <w:shd w:val="clear" w:color="auto" w:fill="E6E6E6"/>
                <w:lang w:eastAsia="en-AU"/>
              </w:rPr>
              <w:fldChar w:fldCharType="end"/>
            </w:r>
          </w:p>
        </w:tc>
      </w:tr>
      <w:tr w:rsidR="00A46C9A" w:rsidRPr="008069D3" w14:paraId="3B666C0E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19453373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05856F3C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6B09108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Schedule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an appointment with provider, advise resident &amp; support people </w:t>
            </w:r>
          </w:p>
        </w:tc>
        <w:tc>
          <w:tcPr>
            <w:tcW w:w="2694" w:type="dxa"/>
            <w:hideMark/>
          </w:tcPr>
          <w:p w14:paraId="55CD2DE4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 </w:t>
            </w:r>
          </w:p>
        </w:tc>
      </w:tr>
      <w:tr w:rsidR="00A46C9A" w:rsidRPr="008069D3" w14:paraId="69D66E59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9354886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634C21F6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7ABFC224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Establish the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best location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for the consultation </w:t>
            </w:r>
          </w:p>
          <w:p w14:paraId="2987CED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quiet &amp; private room)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5A181B26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 </w:t>
            </w:r>
          </w:p>
        </w:tc>
      </w:tr>
      <w:tr w:rsidR="00A46C9A" w:rsidRPr="008069D3" w14:paraId="2593C828" w14:textId="77777777" w:rsidTr="000061A3">
        <w:trPr>
          <w:trHeight w:val="555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17829159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62543B99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547F52AB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Arrange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technology and IT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support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33934E27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people and equipment, before &amp; during)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3529F474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 </w:t>
            </w:r>
          </w:p>
        </w:tc>
      </w:tr>
      <w:tr w:rsidR="00A46C9A" w:rsidRPr="008069D3" w14:paraId="48518821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-1124467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31725AFB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0B192EB9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Arrange dedicated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Nursing cover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60221305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(For before and during the appointment)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1640A047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 </w:t>
            </w:r>
          </w:p>
        </w:tc>
      </w:tr>
      <w:tr w:rsidR="00A46C9A" w:rsidRPr="008069D3" w14:paraId="38B1AD9D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-8114051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7AE026A3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04373474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Resident has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information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about telehealth </w:t>
            </w:r>
          </w:p>
          <w:p w14:paraId="54E3F5B8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time, consent, support people)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48567ACC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 w:val="16"/>
                <w:szCs w:val="16"/>
                <w:lang w:eastAsia="en-AU"/>
              </w:rPr>
            </w:pPr>
            <w:r w:rsidRPr="000061A3">
              <w:rPr>
                <w:rFonts w:eastAsia="Times New Roman" w:cs="Open Sans"/>
                <w:sz w:val="16"/>
                <w:szCs w:val="16"/>
                <w:lang w:eastAsia="en-AU"/>
              </w:rPr>
              <w:t>Example: Telehealth Pamphlet, Resource Number 3.0</w:t>
            </w:r>
          </w:p>
        </w:tc>
      </w:tr>
      <w:tr w:rsidR="00A46C9A" w:rsidRPr="008069D3" w14:paraId="087C4972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12588650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</w:tcPr>
              <w:p w14:paraId="135E4125" w14:textId="77777777" w:rsidR="00A46C9A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</w:tcPr>
          <w:p w14:paraId="21F5EB81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The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special needs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of the resident have been considered </w:t>
            </w:r>
          </w:p>
          <w:p w14:paraId="72587D24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supports for people who are deaf, where English is a second language, or they identify as Aboriginal and/or Torres Strait Islander)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</w:tcPr>
          <w:p w14:paraId="47C5C0A5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</w:p>
        </w:tc>
      </w:tr>
      <w:tr w:rsidR="00A46C9A" w:rsidRPr="008069D3" w14:paraId="1DD6140F" w14:textId="77777777" w:rsidTr="000061A3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2B579A"/>
              <w:sz w:val="28"/>
              <w:szCs w:val="28"/>
              <w:shd w:val="clear" w:color="auto" w:fill="E6E6E6"/>
              <w:lang w:eastAsia="en-AU"/>
            </w:rPr>
            <w:id w:val="-1028941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hideMark/>
              </w:tcPr>
              <w:p w14:paraId="231A432D" w14:textId="77777777" w:rsidR="00A46C9A" w:rsidRPr="0077555B" w:rsidRDefault="00A46C9A" w:rsidP="006362C8">
                <w:pPr>
                  <w:spacing w:after="0" w:line="276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en-AU"/>
                  </w:rPr>
                </w:pPr>
                <w:r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p>
            </w:tc>
          </w:sdtContent>
        </w:sdt>
        <w:tc>
          <w:tcPr>
            <w:tcW w:w="6378" w:type="dxa"/>
            <w:hideMark/>
          </w:tcPr>
          <w:p w14:paraId="418FE7F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Document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arrangements and general setup undertaken, as per facility process</w:t>
            </w:r>
          </w:p>
        </w:tc>
        <w:tc>
          <w:tcPr>
            <w:tcW w:w="2694" w:type="dxa"/>
            <w:hideMark/>
          </w:tcPr>
          <w:p w14:paraId="48C3E286" w14:textId="77777777" w:rsidR="00A46C9A" w:rsidRPr="000061A3" w:rsidRDefault="00A46C9A" w:rsidP="006362C8">
            <w:pPr>
              <w:spacing w:after="0"/>
              <w:ind w:left="146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6160551A" w14:textId="77777777" w:rsidTr="000061A3">
        <w:trPr>
          <w:trHeight w:val="300"/>
        </w:trPr>
        <w:tc>
          <w:tcPr>
            <w:tcW w:w="583" w:type="dxa"/>
            <w:shd w:val="clear" w:color="auto" w:fill="CCDDEE"/>
            <w:hideMark/>
          </w:tcPr>
          <w:p w14:paraId="38CC5413" w14:textId="77777777" w:rsidR="00A46C9A" w:rsidRPr="00B973D5" w:rsidRDefault="00A46C9A" w:rsidP="006362C8">
            <w:pPr>
              <w:spacing w:before="12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B973D5"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  <w:t>ü</w:t>
            </w:r>
          </w:p>
        </w:tc>
        <w:tc>
          <w:tcPr>
            <w:tcW w:w="6378" w:type="dxa"/>
            <w:shd w:val="clear" w:color="auto" w:fill="CCDDEE"/>
            <w:hideMark/>
          </w:tcPr>
          <w:p w14:paraId="11C22177" w14:textId="77777777" w:rsidR="00A46C9A" w:rsidRPr="00544547" w:rsidRDefault="00A46C9A" w:rsidP="006362C8">
            <w:pPr>
              <w:pStyle w:val="Heading3"/>
              <w:spacing w:after="120"/>
              <w:jc w:val="center"/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</w:pPr>
            <w:bookmarkStart w:id="1" w:name="_Toc135660434"/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 xml:space="preserve">Before each consultation – </w:t>
            </w:r>
            <w:r w:rsidRPr="00544547">
              <w:rPr>
                <w:rFonts w:eastAsia="Times New Roman" w:cs="Open Sans"/>
                <w:i/>
                <w:iCs/>
                <w:color w:val="auto"/>
                <w:sz w:val="24"/>
                <w:szCs w:val="24"/>
                <w:lang w:eastAsia="en-AU"/>
              </w:rPr>
              <w:t>Room Preparation</w:t>
            </w:r>
            <w:bookmarkEnd w:id="1"/>
          </w:p>
        </w:tc>
        <w:tc>
          <w:tcPr>
            <w:tcW w:w="2694" w:type="dxa"/>
            <w:shd w:val="clear" w:color="auto" w:fill="CCDDEE"/>
            <w:hideMark/>
          </w:tcPr>
          <w:p w14:paraId="5F8A8D6C" w14:textId="77777777" w:rsidR="00A46C9A" w:rsidRPr="00544547" w:rsidRDefault="00A46C9A" w:rsidP="006362C8">
            <w:pPr>
              <w:jc w:val="center"/>
              <w:textAlignment w:val="baseline"/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544547"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  <w:t>Location of Process/Guideline</w:t>
            </w:r>
          </w:p>
        </w:tc>
      </w:tr>
      <w:tr w:rsidR="00A46C9A" w:rsidRPr="008069D3" w14:paraId="01F59517" w14:textId="77777777" w:rsidTr="000061A3">
        <w:trPr>
          <w:trHeight w:val="300"/>
        </w:trPr>
        <w:tc>
          <w:tcPr>
            <w:tcW w:w="583" w:type="dxa"/>
            <w:hideMark/>
          </w:tcPr>
          <w:p w14:paraId="47ADC3BA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246225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703A8505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Confirm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appointment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with doctor and relevant others </w:t>
            </w:r>
          </w:p>
        </w:tc>
        <w:tc>
          <w:tcPr>
            <w:tcW w:w="2694" w:type="dxa"/>
            <w:hideMark/>
          </w:tcPr>
          <w:p w14:paraId="100DF17A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64BD42F4" w14:textId="77777777" w:rsidTr="000061A3">
        <w:trPr>
          <w:trHeight w:val="300"/>
        </w:trPr>
        <w:tc>
          <w:tcPr>
            <w:tcW w:w="583" w:type="dxa"/>
            <w:hideMark/>
          </w:tcPr>
          <w:p w14:paraId="45653692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157684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56EB671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Collect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telehealth equipment </w:t>
            </w:r>
          </w:p>
          <w:p w14:paraId="1FDFBFD8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have tested &amp; tagged equipment, in the room, and turned on)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65CF820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69036EE8" w14:textId="77777777" w:rsidTr="000061A3">
        <w:trPr>
          <w:trHeight w:val="300"/>
        </w:trPr>
        <w:tc>
          <w:tcPr>
            <w:tcW w:w="583" w:type="dxa"/>
            <w:hideMark/>
          </w:tcPr>
          <w:p w14:paraId="4BBE6BBF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516917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633867C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Pre-test Equipment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05F35FD9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check all connections &amp; parts work)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64B0ADAB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5C8FE6D9" w14:textId="77777777" w:rsidTr="000061A3">
        <w:trPr>
          <w:trHeight w:val="300"/>
        </w:trPr>
        <w:tc>
          <w:tcPr>
            <w:tcW w:w="583" w:type="dxa"/>
            <w:hideMark/>
          </w:tcPr>
          <w:p w14:paraId="43C2A8CD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7726631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1DD2973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Check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Field of view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3300E60A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position the screen for comfort &amp; eye contact)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4485D02B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50A08306" w14:textId="77777777" w:rsidTr="000061A3">
        <w:trPr>
          <w:trHeight w:val="300"/>
        </w:trPr>
        <w:tc>
          <w:tcPr>
            <w:tcW w:w="583" w:type="dxa"/>
            <w:hideMark/>
          </w:tcPr>
          <w:p w14:paraId="1797FBE2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625511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3CA6D9E7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Check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Lighting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in room </w:t>
            </w:r>
          </w:p>
          <w:p w14:paraId="680253B9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room is bright with minimal shadows)</w:t>
            </w:r>
          </w:p>
        </w:tc>
        <w:tc>
          <w:tcPr>
            <w:tcW w:w="2694" w:type="dxa"/>
            <w:hideMark/>
          </w:tcPr>
          <w:p w14:paraId="3C52D41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4F82292B" w14:textId="77777777" w:rsidTr="000061A3">
        <w:trPr>
          <w:trHeight w:val="300"/>
        </w:trPr>
        <w:tc>
          <w:tcPr>
            <w:tcW w:w="583" w:type="dxa"/>
            <w:hideMark/>
          </w:tcPr>
          <w:p w14:paraId="38CF6E3F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0673363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08C54467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Check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Sound and Speech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12DDCAE9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adjust speaker volume, explain microphone)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61BDF58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112D253D" w14:textId="77777777" w:rsidTr="000061A3">
        <w:trPr>
          <w:trHeight w:val="300"/>
        </w:trPr>
        <w:tc>
          <w:tcPr>
            <w:tcW w:w="583" w:type="dxa"/>
            <w:hideMark/>
          </w:tcPr>
          <w:p w14:paraId="4F7235A1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556360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6B80479D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Collect &amp; prepare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clinical records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334841FB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observations, test results)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7617FC0B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26E15A25" w14:textId="77777777" w:rsidTr="000061A3">
        <w:trPr>
          <w:trHeight w:val="300"/>
        </w:trPr>
        <w:tc>
          <w:tcPr>
            <w:tcW w:w="583" w:type="dxa"/>
            <w:hideMark/>
          </w:tcPr>
          <w:p w14:paraId="0BFA56BA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49692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1DDDCE93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Collect required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clinical equipment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614AAF4C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dressing packs)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4" w:type="dxa"/>
            <w:hideMark/>
          </w:tcPr>
          <w:p w14:paraId="0933E4E8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5C1FBDA4" w14:textId="77777777" w:rsidTr="000061A3">
        <w:trPr>
          <w:trHeight w:val="300"/>
        </w:trPr>
        <w:tc>
          <w:tcPr>
            <w:tcW w:w="583" w:type="dxa"/>
            <w:hideMark/>
          </w:tcPr>
          <w:p w14:paraId="2E4C0A52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491333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3634AD34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Prepare for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technology failure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 </w:t>
            </w:r>
          </w:p>
          <w:p w14:paraId="1DE56D53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mobile phone back-up, IT ready, tip sheet, contingency plan) </w:t>
            </w:r>
          </w:p>
        </w:tc>
        <w:tc>
          <w:tcPr>
            <w:tcW w:w="2694" w:type="dxa"/>
            <w:hideMark/>
          </w:tcPr>
          <w:p w14:paraId="059FBCE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39A74496" w14:textId="77777777" w:rsidTr="000061A3">
        <w:trPr>
          <w:trHeight w:val="300"/>
        </w:trPr>
        <w:tc>
          <w:tcPr>
            <w:tcW w:w="583" w:type="dxa"/>
            <w:hideMark/>
          </w:tcPr>
          <w:p w14:paraId="48BB2BD9" w14:textId="77777777" w:rsidR="00A46C9A" w:rsidRPr="0077555B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500171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77555B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4F8DF38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Place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‘do not disturb, consultation in progress’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sign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on the door </w:t>
            </w:r>
          </w:p>
          <w:p w14:paraId="13C5729E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(after all participants have arrived)</w:t>
            </w:r>
          </w:p>
        </w:tc>
        <w:tc>
          <w:tcPr>
            <w:tcW w:w="2694" w:type="dxa"/>
            <w:hideMark/>
          </w:tcPr>
          <w:p w14:paraId="18CADDAF" w14:textId="77777777" w:rsidR="00A46C9A" w:rsidRPr="000061A3" w:rsidRDefault="00A46C9A" w:rsidP="006362C8">
            <w:pPr>
              <w:spacing w:after="0"/>
              <w:ind w:left="137"/>
              <w:textAlignment w:val="baseline"/>
              <w:rPr>
                <w:rFonts w:eastAsia="Times New Roman" w:cs="Open Sans"/>
                <w:lang w:eastAsia="en-AU"/>
              </w:rPr>
            </w:pPr>
            <w:r w:rsidRPr="000061A3">
              <w:rPr>
                <w:rFonts w:eastAsia="Times New Roman" w:cs="Open Sans"/>
                <w:lang w:eastAsia="en-AU"/>
              </w:rPr>
              <w:t> </w:t>
            </w:r>
          </w:p>
        </w:tc>
      </w:tr>
      <w:tr w:rsidR="00A46C9A" w:rsidRPr="008069D3" w14:paraId="2BB6AAA1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shd w:val="clear" w:color="auto" w:fill="CCDDEE"/>
            <w:hideMark/>
          </w:tcPr>
          <w:p w14:paraId="7E99DFE5" w14:textId="77777777" w:rsidR="00A46C9A" w:rsidRPr="002C2AF4" w:rsidRDefault="00A46C9A" w:rsidP="006362C8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2C2AF4"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  <w:t>ü</w:t>
            </w:r>
          </w:p>
        </w:tc>
        <w:tc>
          <w:tcPr>
            <w:tcW w:w="6378" w:type="dxa"/>
            <w:shd w:val="clear" w:color="auto" w:fill="CCDDEE"/>
            <w:hideMark/>
          </w:tcPr>
          <w:p w14:paraId="702F3EE3" w14:textId="77777777" w:rsidR="00A46C9A" w:rsidRPr="00544547" w:rsidRDefault="00A46C9A" w:rsidP="006362C8">
            <w:pPr>
              <w:pStyle w:val="Heading3"/>
              <w:spacing w:after="120"/>
              <w:jc w:val="center"/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</w:pPr>
            <w:bookmarkStart w:id="2" w:name="_Toc135660435"/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 xml:space="preserve">Before each consultation – </w:t>
            </w:r>
            <w:r w:rsidRPr="00544547">
              <w:rPr>
                <w:rFonts w:eastAsia="Times New Roman" w:cs="Open Sans"/>
                <w:i/>
                <w:iCs/>
                <w:color w:val="auto"/>
                <w:sz w:val="24"/>
                <w:szCs w:val="24"/>
                <w:lang w:eastAsia="en-AU"/>
              </w:rPr>
              <w:t>Resident Preparation</w:t>
            </w:r>
            <w:bookmarkEnd w:id="2"/>
          </w:p>
        </w:tc>
        <w:tc>
          <w:tcPr>
            <w:tcW w:w="2697" w:type="dxa"/>
            <w:shd w:val="clear" w:color="auto" w:fill="CCDDEE"/>
            <w:hideMark/>
          </w:tcPr>
          <w:p w14:paraId="5F8C7D7A" w14:textId="77777777" w:rsidR="00A46C9A" w:rsidRPr="00544547" w:rsidRDefault="00A46C9A" w:rsidP="006362C8">
            <w:pPr>
              <w:spacing w:before="120" w:after="120"/>
              <w:jc w:val="center"/>
              <w:textAlignment w:val="baseline"/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544547"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  <w:t>Location of Process/Guideline</w:t>
            </w:r>
          </w:p>
        </w:tc>
      </w:tr>
      <w:tr w:rsidR="00A46C9A" w:rsidRPr="008069D3" w14:paraId="2A30AAAB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19BCBF41" w14:textId="77777777" w:rsidR="00A46C9A" w:rsidRPr="00196026" w:rsidRDefault="00EB07CC" w:rsidP="006362C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5156913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7901CF24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Ensure resident’s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privacy &amp; dignity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is maintained during the consult  </w:t>
            </w:r>
          </w:p>
          <w:p w14:paraId="55749090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2-piece outfit, screen, gown, or cover sheet for examination) </w:t>
            </w:r>
          </w:p>
        </w:tc>
        <w:tc>
          <w:tcPr>
            <w:tcW w:w="2697" w:type="dxa"/>
            <w:hideMark/>
          </w:tcPr>
          <w:p w14:paraId="73DAC125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5D71FEF8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28103046" w14:textId="77777777" w:rsidR="00A46C9A" w:rsidRPr="00196026" w:rsidRDefault="00EB07CC" w:rsidP="006362C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385179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1018B238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Consider resident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comfort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 </w:t>
            </w:r>
          </w:p>
          <w:p w14:paraId="1E79B815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position monitor, chair, speaker, microphone, support people</w:t>
            </w:r>
          </w:p>
        </w:tc>
        <w:tc>
          <w:tcPr>
            <w:tcW w:w="2697" w:type="dxa"/>
            <w:hideMark/>
          </w:tcPr>
          <w:p w14:paraId="3E97B7C6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48105B64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794F5A57" w14:textId="77777777" w:rsidR="00A46C9A" w:rsidRPr="00196026" w:rsidRDefault="00EB07CC" w:rsidP="006362C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8220402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7449AB2C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Minimise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distractions &amp; background noise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</w:t>
            </w:r>
          </w:p>
          <w:p w14:paraId="4938A2A8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i/>
                <w:iCs/>
                <w:sz w:val="18"/>
                <w:szCs w:val="18"/>
                <w:lang w:eastAsia="en-AU"/>
              </w:rPr>
              <w:t>(e.g., turn phones off, close blinds)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7" w:type="dxa"/>
            <w:hideMark/>
          </w:tcPr>
          <w:p w14:paraId="1CC4E19F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5F548484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shd w:val="clear" w:color="auto" w:fill="CCDDEE"/>
            <w:hideMark/>
          </w:tcPr>
          <w:p w14:paraId="368EE1DF" w14:textId="77777777" w:rsidR="00A46C9A" w:rsidRPr="002C2AF4" w:rsidRDefault="00A46C9A" w:rsidP="006362C8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2C2AF4"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  <w:t>ü</w:t>
            </w:r>
          </w:p>
        </w:tc>
        <w:tc>
          <w:tcPr>
            <w:tcW w:w="6378" w:type="dxa"/>
            <w:shd w:val="clear" w:color="auto" w:fill="CCDDEE"/>
            <w:hideMark/>
          </w:tcPr>
          <w:p w14:paraId="227BF9FC" w14:textId="77777777" w:rsidR="00A46C9A" w:rsidRPr="00544547" w:rsidRDefault="00A46C9A" w:rsidP="006362C8">
            <w:pPr>
              <w:pStyle w:val="Heading3"/>
              <w:spacing w:after="120"/>
              <w:jc w:val="center"/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</w:pPr>
            <w:bookmarkStart w:id="3" w:name="_Toc135660436"/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>During the consultation</w:t>
            </w:r>
            <w:bookmarkEnd w:id="3"/>
          </w:p>
        </w:tc>
        <w:tc>
          <w:tcPr>
            <w:tcW w:w="2697" w:type="dxa"/>
            <w:shd w:val="clear" w:color="auto" w:fill="CCDDEE"/>
            <w:hideMark/>
          </w:tcPr>
          <w:p w14:paraId="09320773" w14:textId="77777777" w:rsidR="00A46C9A" w:rsidRPr="00544547" w:rsidRDefault="00A46C9A" w:rsidP="006362C8">
            <w:pPr>
              <w:spacing w:before="120" w:after="120"/>
              <w:jc w:val="center"/>
              <w:textAlignment w:val="baseline"/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544547"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  <w:t>Location of Process/Guideline</w:t>
            </w:r>
          </w:p>
        </w:tc>
      </w:tr>
      <w:tr w:rsidR="00A46C9A" w:rsidRPr="008069D3" w14:paraId="7E2F8650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486CAF91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1397915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0C9831EF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Introduce everyone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at the beginning of the consultation </w:t>
            </w:r>
          </w:p>
        </w:tc>
        <w:tc>
          <w:tcPr>
            <w:tcW w:w="2697" w:type="dxa"/>
            <w:hideMark/>
          </w:tcPr>
          <w:p w14:paraId="45C052A6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00E8F1E3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0040AD5E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3389293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4C479DD4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Confirm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Reason for consult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, right doctor, right resident, right health record </w:t>
            </w:r>
          </w:p>
        </w:tc>
        <w:tc>
          <w:tcPr>
            <w:tcW w:w="2697" w:type="dxa"/>
            <w:hideMark/>
          </w:tcPr>
          <w:p w14:paraId="727EAE13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088AC538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039442FF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1906764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69DAE696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Confirm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identity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by asking resident to state their name, address, and Date of Birth</w:t>
            </w:r>
          </w:p>
        </w:tc>
        <w:tc>
          <w:tcPr>
            <w:tcW w:w="2697" w:type="dxa"/>
            <w:hideMark/>
          </w:tcPr>
          <w:p w14:paraId="0DCCE570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5F25A16F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4EBCAC6A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9450314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372F4BC1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Confirm resident’s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consent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to participate including others in attendance </w:t>
            </w:r>
          </w:p>
        </w:tc>
        <w:tc>
          <w:tcPr>
            <w:tcW w:w="2697" w:type="dxa"/>
            <w:hideMark/>
          </w:tcPr>
          <w:p w14:paraId="2C79FE83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519216A9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</w:tcPr>
          <w:p w14:paraId="41AF01DB" w14:textId="77777777" w:rsidR="00A46C9A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1430394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71E702ED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Session recording should be disabled. </w:t>
            </w:r>
          </w:p>
          <w:p w14:paraId="46682C2B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Where this is a requirement, permission to record a video conference from everyone on the call is needed.</w:t>
            </w:r>
          </w:p>
        </w:tc>
        <w:tc>
          <w:tcPr>
            <w:tcW w:w="2697" w:type="dxa"/>
          </w:tcPr>
          <w:p w14:paraId="25734105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</w:p>
        </w:tc>
      </w:tr>
      <w:tr w:rsidR="00A46C9A" w:rsidRPr="008069D3" w14:paraId="676F0B1B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6C7C33EC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8065142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73E0DF77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Confirm steps have been taken to maintain resident’s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privacy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697" w:type="dxa"/>
            <w:hideMark/>
          </w:tcPr>
          <w:p w14:paraId="14E9C674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65FEF596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2A0A0924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3322589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5E0D66FE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Confirm resident’s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comfort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, including that they can see and hear </w:t>
            </w:r>
          </w:p>
        </w:tc>
        <w:tc>
          <w:tcPr>
            <w:tcW w:w="2697" w:type="dxa"/>
            <w:hideMark/>
          </w:tcPr>
          <w:p w14:paraId="433511F6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0E212A0B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012078ED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6301625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55CBD21F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Ask everyone to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speak clearly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into the microphone using normal tone and one person to speak at a time </w:t>
            </w:r>
          </w:p>
        </w:tc>
        <w:tc>
          <w:tcPr>
            <w:tcW w:w="2697" w:type="dxa"/>
            <w:hideMark/>
          </w:tcPr>
          <w:p w14:paraId="0748C7AF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6FA2FA62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29569495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1186808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798ECE86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Support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clinical needs - 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ISBAR handover, discussion, assist assessment, examination &amp; care planning </w:t>
            </w:r>
          </w:p>
        </w:tc>
        <w:tc>
          <w:tcPr>
            <w:tcW w:w="2697" w:type="dxa"/>
            <w:hideMark/>
          </w:tcPr>
          <w:p w14:paraId="7695E5EF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45B278AD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shd w:val="clear" w:color="auto" w:fill="CCDDEE"/>
            <w:hideMark/>
          </w:tcPr>
          <w:p w14:paraId="5A6C657B" w14:textId="77777777" w:rsidR="00A46C9A" w:rsidRDefault="00A46C9A" w:rsidP="006362C8">
            <w:pPr>
              <w:spacing w:after="0"/>
              <w:jc w:val="center"/>
              <w:textAlignment w:val="baseline"/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</w:pPr>
          </w:p>
          <w:p w14:paraId="0B7DFE79" w14:textId="77777777" w:rsidR="00A46C9A" w:rsidRPr="00B973D5" w:rsidRDefault="00A46C9A" w:rsidP="006362C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r w:rsidRPr="00B973D5">
              <w:rPr>
                <w:rFonts w:ascii="Wingdings" w:eastAsia="Times New Roman" w:hAnsi="Wingdings" w:cs="Times New Roman"/>
                <w:b/>
                <w:bCs/>
                <w:sz w:val="28"/>
                <w:szCs w:val="28"/>
                <w:lang w:eastAsia="en-AU"/>
              </w:rPr>
              <w:t>ü</w:t>
            </w:r>
          </w:p>
        </w:tc>
        <w:tc>
          <w:tcPr>
            <w:tcW w:w="6378" w:type="dxa"/>
            <w:shd w:val="clear" w:color="auto" w:fill="CCDDEE"/>
            <w:hideMark/>
          </w:tcPr>
          <w:p w14:paraId="7B9812D0" w14:textId="77777777" w:rsidR="00A46C9A" w:rsidRPr="00544547" w:rsidRDefault="00A46C9A" w:rsidP="006362C8">
            <w:pPr>
              <w:pStyle w:val="Heading3"/>
              <w:spacing w:after="120"/>
              <w:jc w:val="center"/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</w:pPr>
            <w:bookmarkStart w:id="4" w:name="_Toc135660437"/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 xml:space="preserve">After </w:t>
            </w:r>
            <w:r w:rsidRPr="00544547">
              <w:rPr>
                <w:rFonts w:cs="Open Sans"/>
                <w:color w:val="auto"/>
                <w:sz w:val="24"/>
                <w:szCs w:val="24"/>
              </w:rPr>
              <w:t>the</w:t>
            </w:r>
            <w:r w:rsidRPr="00544547">
              <w:rPr>
                <w:rFonts w:eastAsia="Times New Roman" w:cs="Open Sans"/>
                <w:color w:val="auto"/>
                <w:sz w:val="24"/>
                <w:szCs w:val="24"/>
                <w:lang w:eastAsia="en-AU"/>
              </w:rPr>
              <w:t xml:space="preserve"> consultation</w:t>
            </w:r>
            <w:bookmarkEnd w:id="4"/>
          </w:p>
        </w:tc>
        <w:tc>
          <w:tcPr>
            <w:tcW w:w="2697" w:type="dxa"/>
            <w:shd w:val="clear" w:color="auto" w:fill="CCDDEE"/>
            <w:hideMark/>
          </w:tcPr>
          <w:p w14:paraId="1416B1DF" w14:textId="77777777" w:rsidR="00A46C9A" w:rsidRPr="00544547" w:rsidRDefault="00A46C9A" w:rsidP="006362C8">
            <w:pPr>
              <w:spacing w:before="120" w:after="120"/>
              <w:jc w:val="center"/>
              <w:textAlignment w:val="baseline"/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</w:pPr>
            <w:r w:rsidRPr="00544547">
              <w:rPr>
                <w:rFonts w:eastAsia="Times New Roman" w:cs="Open Sans"/>
                <w:b/>
                <w:bCs/>
                <w:color w:val="auto"/>
                <w:sz w:val="24"/>
                <w:szCs w:val="24"/>
                <w:lang w:eastAsia="en-AU"/>
              </w:rPr>
              <w:t>Location of Process/Guideline</w:t>
            </w:r>
          </w:p>
        </w:tc>
      </w:tr>
      <w:tr w:rsidR="00A46C9A" w:rsidRPr="008069D3" w14:paraId="44F44B90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6ACC5551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1435342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3BF207C7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Manage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follow-up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by documenting and finalising notes, clinical handover, and delegating actions i.e., scripts, pathology, next appointment, and written orders pending</w:t>
            </w:r>
          </w:p>
        </w:tc>
        <w:tc>
          <w:tcPr>
            <w:tcW w:w="2697" w:type="dxa"/>
            <w:hideMark/>
          </w:tcPr>
          <w:p w14:paraId="4F2120CE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57B0D51A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6B03AD26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081693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071682D8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Debrief 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with resident by asking how they found the consult or if they have any questions </w:t>
            </w:r>
          </w:p>
        </w:tc>
        <w:tc>
          <w:tcPr>
            <w:tcW w:w="2697" w:type="dxa"/>
            <w:hideMark/>
          </w:tcPr>
          <w:p w14:paraId="05A64BA6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26F8F06B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35EC3052" w14:textId="77777777" w:rsidR="00A46C9A" w:rsidRPr="00196026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20203389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196026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41068684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Ask resident and family for 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feedback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about their experience </w:t>
            </w:r>
          </w:p>
        </w:tc>
        <w:tc>
          <w:tcPr>
            <w:tcW w:w="2697" w:type="dxa"/>
            <w:hideMark/>
          </w:tcPr>
          <w:p w14:paraId="32634FCB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38DFE7F0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372C1243" w14:textId="77777777" w:rsidR="00A46C9A" w:rsidRPr="000527BE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159059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30C56291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>Return equipment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 xml:space="preserve"> to secure designated area </w:t>
            </w:r>
          </w:p>
        </w:tc>
        <w:tc>
          <w:tcPr>
            <w:tcW w:w="2697" w:type="dxa"/>
            <w:hideMark/>
          </w:tcPr>
          <w:p w14:paraId="1F63206E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  <w:tr w:rsidR="00A46C9A" w:rsidRPr="008069D3" w14:paraId="38F5DE4D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</w:tcPr>
          <w:p w14:paraId="00D1C313" w14:textId="77777777" w:rsidR="00A46C9A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-897745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0A355E10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Complete consultation details in</w:t>
            </w: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 telehealth consultation register</w:t>
            </w:r>
          </w:p>
        </w:tc>
        <w:tc>
          <w:tcPr>
            <w:tcW w:w="2697" w:type="dxa"/>
          </w:tcPr>
          <w:p w14:paraId="3C663B18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</w:p>
        </w:tc>
      </w:tr>
      <w:tr w:rsidR="00A46C9A" w:rsidRPr="008069D3" w14:paraId="0E373CF2" w14:textId="77777777" w:rsidTr="00006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3" w:type="dxa"/>
            <w:hideMark/>
          </w:tcPr>
          <w:p w14:paraId="4B5DF235" w14:textId="77777777" w:rsidR="00A46C9A" w:rsidRPr="000527BE" w:rsidRDefault="00EB07CC" w:rsidP="006362C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A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2B579A"/>
                  <w:sz w:val="28"/>
                  <w:szCs w:val="28"/>
                  <w:shd w:val="clear" w:color="auto" w:fill="E6E6E6"/>
                  <w:lang w:eastAsia="en-AU"/>
                </w:rPr>
                <w:id w:val="9317836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C9A" w:rsidRPr="000527BE"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78" w:type="dxa"/>
            <w:hideMark/>
          </w:tcPr>
          <w:p w14:paraId="6E21CAF8" w14:textId="77777777" w:rsidR="00A46C9A" w:rsidRPr="000061A3" w:rsidRDefault="00A46C9A" w:rsidP="006362C8">
            <w:pPr>
              <w:spacing w:after="0"/>
              <w:ind w:left="147"/>
              <w:textAlignment w:val="baseline"/>
              <w:rPr>
                <w:rFonts w:eastAsia="Times New Roman" w:cs="Open Sans"/>
                <w:sz w:val="18"/>
                <w:szCs w:val="18"/>
                <w:lang w:eastAsia="en-AU"/>
              </w:rPr>
            </w:pPr>
            <w:r w:rsidRPr="000061A3">
              <w:rPr>
                <w:rFonts w:eastAsia="Times New Roman" w:cs="Open Sans"/>
                <w:b/>
                <w:bCs/>
                <w:sz w:val="18"/>
                <w:szCs w:val="18"/>
                <w:lang w:eastAsia="en-AU"/>
              </w:rPr>
              <w:t xml:space="preserve">Maintain Equipment </w:t>
            </w:r>
            <w:r w:rsidRPr="000061A3">
              <w:rPr>
                <w:rFonts w:eastAsia="Times New Roman" w:cs="Open Sans"/>
                <w:sz w:val="18"/>
                <w:szCs w:val="18"/>
                <w:lang w:eastAsia="en-AU"/>
              </w:rPr>
              <w:t>by ensuring re-charged, cleaned and ready for use</w:t>
            </w:r>
          </w:p>
        </w:tc>
        <w:tc>
          <w:tcPr>
            <w:tcW w:w="2697" w:type="dxa"/>
            <w:hideMark/>
          </w:tcPr>
          <w:p w14:paraId="217485A1" w14:textId="77777777" w:rsidR="00A46C9A" w:rsidRPr="000061A3" w:rsidRDefault="00A46C9A" w:rsidP="006362C8">
            <w:pPr>
              <w:spacing w:after="0" w:line="276" w:lineRule="auto"/>
              <w:ind w:left="147"/>
              <w:textAlignment w:val="baseline"/>
              <w:rPr>
                <w:rFonts w:eastAsia="Times New Roman" w:cs="Open Sans"/>
                <w:szCs w:val="20"/>
                <w:lang w:eastAsia="en-AU"/>
              </w:rPr>
            </w:pPr>
            <w:r w:rsidRPr="000061A3">
              <w:rPr>
                <w:rFonts w:eastAsia="Times New Roman" w:cs="Open Sans"/>
                <w:szCs w:val="20"/>
                <w:lang w:eastAsia="en-AU"/>
              </w:rPr>
              <w:t> </w:t>
            </w:r>
          </w:p>
        </w:tc>
      </w:tr>
    </w:tbl>
    <w:p w14:paraId="61D6224A" w14:textId="77777777" w:rsidR="00A46C9A" w:rsidRPr="00A46C9A" w:rsidRDefault="00A46C9A" w:rsidP="00A46C9A">
      <w:pPr>
        <w:rPr>
          <w:lang w:val="en-US"/>
        </w:rPr>
      </w:pPr>
    </w:p>
    <w:sectPr w:rsidR="00A46C9A" w:rsidRPr="00A46C9A" w:rsidSect="00A46C9A">
      <w:headerReference w:type="default" r:id="rId10"/>
      <w:footerReference w:type="default" r:id="rId11"/>
      <w:headerReference w:type="first" r:id="rId12"/>
      <w:pgSz w:w="11906" w:h="16838"/>
      <w:pgMar w:top="2014" w:right="1440" w:bottom="1440" w:left="115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8B92" w14:textId="77777777" w:rsidR="00553C57" w:rsidRDefault="00553C57" w:rsidP="00426158">
      <w:pPr>
        <w:spacing w:after="0"/>
      </w:pPr>
      <w:r>
        <w:separator/>
      </w:r>
    </w:p>
    <w:p w14:paraId="3326317D" w14:textId="77777777" w:rsidR="00553C57" w:rsidRDefault="00553C57"/>
    <w:p w14:paraId="5B454CE5" w14:textId="77777777" w:rsidR="00553C57" w:rsidRDefault="00553C57"/>
  </w:endnote>
  <w:endnote w:type="continuationSeparator" w:id="0">
    <w:p w14:paraId="02340E4A" w14:textId="77777777" w:rsidR="00553C57" w:rsidRDefault="00553C57" w:rsidP="00426158">
      <w:pPr>
        <w:spacing w:after="0"/>
      </w:pPr>
      <w:r>
        <w:continuationSeparator/>
      </w:r>
    </w:p>
    <w:p w14:paraId="2214DD10" w14:textId="77777777" w:rsidR="00553C57" w:rsidRDefault="00553C57"/>
    <w:p w14:paraId="157180CA" w14:textId="77777777" w:rsidR="00553C57" w:rsidRDefault="00553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5947" w14:textId="77777777" w:rsidR="00A25B91" w:rsidRDefault="00A25B91" w:rsidP="00A25B91">
    <w:pPr>
      <w:tabs>
        <w:tab w:val="center" w:pos="4820"/>
        <w:tab w:val="right" w:pos="9214"/>
      </w:tabs>
      <w:spacing w:after="120"/>
      <w:rPr>
        <w:b/>
        <w:bCs/>
        <w:color w:val="0C9AFF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464801" wp14:editId="1F451087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D9C638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0C9AFF" w:themeColor="accent6" w:themeTint="99"/>
        <w:sz w:val="16"/>
        <w:szCs w:val="16"/>
      </w:rPr>
      <w:t>[Version 1]</w:t>
    </w:r>
    <w:r>
      <w:rPr>
        <w:color w:val="0C9AFF" w:themeColor="accent6" w:themeTint="99"/>
        <w:sz w:val="16"/>
        <w:szCs w:val="16"/>
      </w:rPr>
      <w:tab/>
    </w:r>
    <w:r>
      <w:rPr>
        <w:rFonts w:cs="Calibri"/>
        <w:color w:val="0C9AFF" w:themeColor="accent6" w:themeTint="99"/>
        <w:sz w:val="16"/>
        <w:szCs w:val="16"/>
      </w:rPr>
      <w:t>[March 2026]</w:t>
    </w:r>
    <w:r>
      <w:rPr>
        <w:rFonts w:cs="Calibri"/>
        <w:color w:val="0C9AFF" w:themeColor="accent6" w:themeTint="99"/>
        <w:sz w:val="16"/>
        <w:szCs w:val="16"/>
      </w:rPr>
      <w:tab/>
    </w:r>
    <w:r w:rsidRPr="009048BB">
      <w:rPr>
        <w:color w:val="0C9AFF" w:themeColor="accent6" w:themeTint="99"/>
        <w:sz w:val="16"/>
        <w:szCs w:val="16"/>
        <w:lang w:val="en-GB"/>
      </w:rPr>
      <w:t xml:space="preserve">Page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1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color w:val="0C9AFF" w:themeColor="accent6" w:themeTint="99"/>
        <w:sz w:val="16"/>
        <w:szCs w:val="16"/>
        <w:lang w:val="en-GB"/>
      </w:rPr>
      <w:t xml:space="preserve"> of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2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0C9AFF" w:themeColor="accent6" w:themeTint="99"/>
        <w:sz w:val="16"/>
        <w:szCs w:val="16"/>
      </w:rPr>
      <w:t xml:space="preserve"> </w:t>
    </w:r>
  </w:p>
  <w:p w14:paraId="0601E73E" w14:textId="77777777" w:rsidR="00A25B91" w:rsidRDefault="00A25B91" w:rsidP="00A25B91">
    <w:pPr>
      <w:tabs>
        <w:tab w:val="center" w:pos="4820"/>
        <w:tab w:val="right" w:pos="9214"/>
      </w:tabs>
    </w:pPr>
    <w:r w:rsidRPr="00AE00F0">
      <w:rPr>
        <w:rFonts w:cs="Calibri"/>
        <w:color w:val="0C9AFF" w:themeColor="accent6" w:themeTint="99"/>
        <w:sz w:val="16"/>
        <w:szCs w:val="16"/>
      </w:rPr>
      <w:t>T</w:t>
    </w:r>
    <w:r w:rsidRPr="00CD70B8">
      <w:rPr>
        <w:rFonts w:cs="Calibri"/>
        <w:color w:val="0C9AFF" w:themeColor="accent6" w:themeTint="99"/>
        <w:sz w:val="16"/>
        <w:szCs w:val="16"/>
      </w:rPr>
      <w:t>his template is provided as a guide only</w:t>
    </w:r>
    <w:r>
      <w:rPr>
        <w:rFonts w:cs="Calibri"/>
        <w:color w:val="0C9AFF" w:themeColor="accent6" w:themeTint="99"/>
        <w:sz w:val="16"/>
        <w:szCs w:val="16"/>
      </w:rPr>
      <w:t xml:space="preserve">. RACHs are </w:t>
    </w:r>
    <w:r w:rsidRPr="00CD70B8">
      <w:rPr>
        <w:rFonts w:cs="Calibri"/>
        <w:color w:val="0C9AFF" w:themeColor="accent6" w:themeTint="99"/>
        <w:sz w:val="16"/>
        <w:szCs w:val="16"/>
      </w:rPr>
      <w:t>responsible for keeping recorded information accurate and up to date</w:t>
    </w:r>
    <w:r w:rsidRPr="00AE00F0">
      <w:rPr>
        <w:rFonts w:cs="Calibri"/>
        <w:color w:val="0C9AFF" w:themeColor="accent6" w:themeTint="99"/>
        <w:sz w:val="16"/>
        <w:szCs w:val="16"/>
      </w:rPr>
      <w:t>.</w:t>
    </w:r>
  </w:p>
  <w:p w14:paraId="1210DEF6" w14:textId="77777777" w:rsidR="00A25B91" w:rsidRDefault="00A25B91" w:rsidP="00A25B91">
    <w:pPr>
      <w:tabs>
        <w:tab w:val="center" w:pos="4820"/>
        <w:tab w:val="right" w:pos="9214"/>
      </w:tabs>
    </w:pPr>
  </w:p>
  <w:p w14:paraId="3FA5AA54" w14:textId="77777777" w:rsidR="005E64D3" w:rsidRPr="00A25B91" w:rsidRDefault="005E64D3" w:rsidP="00A25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D535" w14:textId="77777777" w:rsidR="00553C57" w:rsidRDefault="00553C57" w:rsidP="00426158">
      <w:pPr>
        <w:spacing w:after="0"/>
      </w:pPr>
      <w:r>
        <w:separator/>
      </w:r>
    </w:p>
    <w:p w14:paraId="617315B0" w14:textId="77777777" w:rsidR="00553C57" w:rsidRDefault="00553C57"/>
    <w:p w14:paraId="1713ED10" w14:textId="77777777" w:rsidR="00553C57" w:rsidRDefault="00553C57"/>
  </w:footnote>
  <w:footnote w:type="continuationSeparator" w:id="0">
    <w:p w14:paraId="55862B71" w14:textId="77777777" w:rsidR="00553C57" w:rsidRDefault="00553C57" w:rsidP="00426158">
      <w:pPr>
        <w:spacing w:after="0"/>
      </w:pPr>
      <w:r>
        <w:continuationSeparator/>
      </w:r>
    </w:p>
    <w:p w14:paraId="173D6B0A" w14:textId="77777777" w:rsidR="00553C57" w:rsidRDefault="00553C57"/>
    <w:p w14:paraId="2A402212" w14:textId="77777777" w:rsidR="00553C57" w:rsidRDefault="00553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4B9" w14:textId="6B3B499C" w:rsidR="00C0403C" w:rsidRDefault="00C0403C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55BB13" wp14:editId="004B2F77">
              <wp:simplePos x="0" y="0"/>
              <wp:positionH relativeFrom="column">
                <wp:posOffset>-585</wp:posOffset>
              </wp:positionH>
              <wp:positionV relativeFrom="paragraph">
                <wp:posOffset>-74295</wp:posOffset>
              </wp:positionV>
              <wp:extent cx="4228123" cy="628943"/>
              <wp:effectExtent l="0" t="0" r="0" b="6350"/>
              <wp:wrapNone/>
              <wp:docPr id="4080594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8123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425477" w14:textId="39BFA7FA" w:rsidR="00A46C9A" w:rsidRPr="00765AC1" w:rsidRDefault="00A46C9A" w:rsidP="00765AC1">
                          <w:pPr>
                            <w:spacing w:before="0" w:after="0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Template: Residential Aged Care Telehealth Consultation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5B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05pt;margin-top:-5.85pt;width:332.9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WGAIAACQEAAAOAAAAZHJzL2Uyb0RvYy54bWysU8Fu2zAMvQ/YPwi6L06ctEuNOEXWIsOA&#10;oC2QDj0rshQbkERNUmJnXz9KdpKh22nYRSZF+pF8fFrcd1qRo3C+AVPSyWhMiTAcqsbsS/r9df1p&#10;TokPzFRMgRElPQlP75cfPyxaW4gcalCVcARBjC9aW9I6BFtkmee10MyPwAqDQQlOs4Cu22eVYy2i&#10;a5Xl4/Ft1oKrrAMuvMfbxz5IlwlfSsHDs5ReBKJKir2FdLp07uKZLRes2Dtm64YPbbB/6EKzxmDR&#10;C9QjC4wcXPMHlG64Aw8yjDjoDKRsuEgz4DST8btptjWzIs2C5Hh7ocn/P1j+dNzaF0dC9wU6XGAk&#10;pLW+8HgZ5+mk0/GLnRKMI4WnC22iC4Tj5SzP55N8SgnH2G0+v5tNI0x2/ds6H74K0CQaJXW4lsQW&#10;O2586FPPKbGYgXWjVFqNMqRF0OnNOP1wiSC4Mljj2mu0QrfrhgF2UJ1wLgf9yr3l6waLb5gPL8zh&#10;jnEU1G14xkMqwCIwWJTU4H7+7T7mI/UYpaRFzZTU/zgwJyhR3wwuJQosGbObzzk6Ljl3k9kMnd05&#10;xRz0A6AcJ/gyLE9mzA3qbEoH+g1lvYrVMMQMx5ol3Z3Nh9ArGJ8FF6tVSkI5WRY2Zmt5hI40Rkpf&#10;uzfm7MB7wI09wVlVrHhHf5/bL2B1CCCbtJtIbM/mwDdKMW13eDZR67/7Kev6uJe/AAAA//8DAFBL&#10;AwQUAAYACAAAACEA1JsoktwAAAAIAQAADwAAAGRycy9kb3ducmV2LnhtbEyPQUvDQBCF74L/YRnB&#10;i7SbRExKzKaIUCHHtoLXaXbdRLOzIbtp4793etLTzPAeb75XbRc3iLOZQu9JQbpOQBhqve7JKng/&#10;7lYbECEiaRw8GQU/JsC2vr2psNT+QntzPkQrOIRCiQq6GMdSytB2xmFY+9EQa59+chj5nKzUE144&#10;3A0yS5JcOuyJP3Q4mtfOtN+H2SmwwTV2fmsKbJzDh+Yj+9rtM6Xu75aXZxDRLPHPDFd8RoeamU5+&#10;Jh3EoGCVsvE60gIE63n+xMtJwaZ4BFlX8n+B+hcAAP//AwBQSwECLQAUAAYACAAAACEAtoM4kv4A&#10;AADhAQAAEwAAAAAAAAAAAAAAAAAAAAAAW0NvbnRlbnRfVHlwZXNdLnhtbFBLAQItABQABgAIAAAA&#10;IQA4/SH/1gAAAJQBAAALAAAAAAAAAAAAAAAAAC8BAABfcmVscy8ucmVsc1BLAQItABQABgAIAAAA&#10;IQDcE2XWGAIAACQEAAAOAAAAAAAAAAAAAAAAAC4CAABkcnMvZTJvRG9jLnhtbFBLAQItABQABgAI&#10;AAAAIQDUmyiS3AAAAAgBAAAPAAAAAAAAAAAAAAAAAHIEAABkcnMvZG93bnJldi54bWxQSwUGAAAA&#10;AAQABADzAAAAewUAAAAA&#10;" filled="f" stroked="f" strokeweight=".5pt">
              <v:textbox inset="0,,,0">
                <w:txbxContent>
                  <w:p w14:paraId="00425477" w14:textId="39BFA7FA" w:rsidR="00A46C9A" w:rsidRPr="00765AC1" w:rsidRDefault="00A46C9A" w:rsidP="00765AC1">
                    <w:pPr>
                      <w:spacing w:before="0" w:after="0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Template: Residential Aged Care Telehealth Consultation Checklist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75FC2481" wp14:editId="68F94152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775049819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E0DF66" wp14:editId="5347A493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E00B8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KYB0xTgAAAADQEAAA8AAABkcnMvZG93bnJldi54bWxM&#10;T01Lw0AQvQv+h2UEb3aTqiVNsynS6sGDiNWCx0kyJsHsbMhu28Rf7wiCXgbmvZn3ka1H26kjDb51&#10;bCCeRaCIS1e1XBt4e324SkD5gFxh55gMTORhnZ+fZZhW7sQvdNyFWokI+xQNNCH0qda+bMiin7me&#10;WLgPN1gMsg61rgY8ibjt9DyKFtpiy+LQYE+bhsrP3cEaKJ6SCaevzWIfXJxs9f3N/vnx3ZjLi3G7&#10;knG3AhVoDH8f8NNB8kMuwQp34MqrzsC13AkaLWNQQi/j2zmo4hfReab/t8i/AQAA//8DAFBLAQIt&#10;ABQABgAIAAAAIQC2gziS/gAAAOEBAAATAAAAAAAAAAAAAAAAAAAAAABbQ29udGVudF9UeXBlc10u&#10;eG1sUEsBAi0AFAAGAAgAAAAhADj9If/WAAAAlAEAAAsAAAAAAAAAAAAAAAAALwEAAF9yZWxzLy5y&#10;ZWxzUEsBAi0AFAAGAAgAAAAhAKhIduezAQAA2AMAAA4AAAAAAAAAAAAAAAAALgIAAGRycy9lMm9E&#10;b2MueG1sUEsBAi0AFAAGAAgAAAAhAKYB0xTgAAAADQEAAA8AAAAAAAAAAAAAAAAADQQAAGRycy9k&#10;b3ducmV2LnhtbFBLBQYAAAAABAAEAPMAAAAaBQAAAAA=&#10;" strokecolor="#003e69 [3209]" strokeweight=".5pt">
              <v:stroke joinstyle="miter"/>
            </v:line>
          </w:pict>
        </mc:Fallback>
      </mc:AlternateContent>
    </w:r>
  </w:p>
  <w:p w14:paraId="13B2BB24" w14:textId="77777777" w:rsidR="005E64D3" w:rsidRDefault="005E64D3"/>
  <w:p w14:paraId="544532F7" w14:textId="77777777" w:rsidR="005E64D3" w:rsidRDefault="005E6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B7A" w14:textId="05B87EC3" w:rsidR="009048BB" w:rsidRDefault="00CC07B5">
    <w:r>
      <w:rPr>
        <w:noProof/>
      </w:rPr>
      <w:drawing>
        <wp:anchor distT="0" distB="0" distL="114300" distR="114300" simplePos="0" relativeHeight="251662336" behindDoc="0" locked="0" layoutInCell="1" allowOverlap="1" wp14:anchorId="58FFCD9C" wp14:editId="3B55BF90">
          <wp:simplePos x="0" y="0"/>
          <wp:positionH relativeFrom="column">
            <wp:posOffset>4768215</wp:posOffset>
          </wp:positionH>
          <wp:positionV relativeFrom="paragraph">
            <wp:posOffset>15240</wp:posOffset>
          </wp:positionV>
          <wp:extent cx="1574800" cy="808355"/>
          <wp:effectExtent l="0" t="0" r="0" b="0"/>
          <wp:wrapNone/>
          <wp:docPr id="1809510675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575C"/>
    <w:multiLevelType w:val="hybridMultilevel"/>
    <w:tmpl w:val="7E807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74569"/>
    <w:multiLevelType w:val="hybridMultilevel"/>
    <w:tmpl w:val="994A2228"/>
    <w:lvl w:ilvl="0" w:tplc="D5C0DE4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030C"/>
    <w:multiLevelType w:val="hybridMultilevel"/>
    <w:tmpl w:val="25048058"/>
    <w:lvl w:ilvl="0" w:tplc="6A70AB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708E"/>
    <w:multiLevelType w:val="hybridMultilevel"/>
    <w:tmpl w:val="1CDA1AFA"/>
    <w:lvl w:ilvl="0" w:tplc="C6C6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1F7A"/>
    <w:multiLevelType w:val="hybridMultilevel"/>
    <w:tmpl w:val="8582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E4BD1"/>
    <w:multiLevelType w:val="hybridMultilevel"/>
    <w:tmpl w:val="9810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5D54C6"/>
    <w:multiLevelType w:val="hybridMultilevel"/>
    <w:tmpl w:val="DE5E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B74E0"/>
    <w:multiLevelType w:val="hybridMultilevel"/>
    <w:tmpl w:val="2386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0726C"/>
    <w:multiLevelType w:val="hybridMultilevel"/>
    <w:tmpl w:val="C5D2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695A"/>
    <w:multiLevelType w:val="hybridMultilevel"/>
    <w:tmpl w:val="9CD87E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C5447"/>
    <w:multiLevelType w:val="hybridMultilevel"/>
    <w:tmpl w:val="C47A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6536"/>
    <w:multiLevelType w:val="hybridMultilevel"/>
    <w:tmpl w:val="392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86E3A"/>
    <w:multiLevelType w:val="hybridMultilevel"/>
    <w:tmpl w:val="E8827E80"/>
    <w:lvl w:ilvl="0" w:tplc="7DB02990">
      <w:numFmt w:val="bullet"/>
      <w:lvlText w:val="•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637E0"/>
    <w:multiLevelType w:val="hybridMultilevel"/>
    <w:tmpl w:val="BA9A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660A6"/>
    <w:multiLevelType w:val="hybridMultilevel"/>
    <w:tmpl w:val="6BE80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3"/>
  </w:num>
  <w:num w:numId="2" w16cid:durableId="1814323338">
    <w:abstractNumId w:val="11"/>
  </w:num>
  <w:num w:numId="3" w16cid:durableId="727731573">
    <w:abstractNumId w:val="13"/>
  </w:num>
  <w:num w:numId="4" w16cid:durableId="1799954854">
    <w:abstractNumId w:val="0"/>
  </w:num>
  <w:num w:numId="5" w16cid:durableId="953514036">
    <w:abstractNumId w:val="15"/>
  </w:num>
  <w:num w:numId="6" w16cid:durableId="1643537559">
    <w:abstractNumId w:val="10"/>
  </w:num>
  <w:num w:numId="7" w16cid:durableId="359859961">
    <w:abstractNumId w:val="2"/>
  </w:num>
  <w:num w:numId="8" w16cid:durableId="207958120">
    <w:abstractNumId w:val="9"/>
  </w:num>
  <w:num w:numId="9" w16cid:durableId="1867138176">
    <w:abstractNumId w:val="6"/>
  </w:num>
  <w:num w:numId="10" w16cid:durableId="1219588755">
    <w:abstractNumId w:val="7"/>
  </w:num>
  <w:num w:numId="11" w16cid:durableId="1793589722">
    <w:abstractNumId w:val="5"/>
  </w:num>
  <w:num w:numId="12" w16cid:durableId="1898393093">
    <w:abstractNumId w:val="8"/>
  </w:num>
  <w:num w:numId="13" w16cid:durableId="2115594528">
    <w:abstractNumId w:val="4"/>
  </w:num>
  <w:num w:numId="14" w16cid:durableId="2073653464">
    <w:abstractNumId w:val="14"/>
  </w:num>
  <w:num w:numId="15" w16cid:durableId="106121199">
    <w:abstractNumId w:val="12"/>
  </w:num>
  <w:num w:numId="16" w16cid:durableId="118262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efaultTableStyle w:val="EMPHNBlu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061A3"/>
    <w:rsid w:val="00063603"/>
    <w:rsid w:val="00085274"/>
    <w:rsid w:val="000C09AF"/>
    <w:rsid w:val="000D6259"/>
    <w:rsid w:val="001B4AEF"/>
    <w:rsid w:val="001E7501"/>
    <w:rsid w:val="001F621A"/>
    <w:rsid w:val="002238D4"/>
    <w:rsid w:val="002839E4"/>
    <w:rsid w:val="002933AE"/>
    <w:rsid w:val="002A01E9"/>
    <w:rsid w:val="003024F3"/>
    <w:rsid w:val="00345384"/>
    <w:rsid w:val="003A0A45"/>
    <w:rsid w:val="0042007D"/>
    <w:rsid w:val="00426158"/>
    <w:rsid w:val="004540E2"/>
    <w:rsid w:val="00483E77"/>
    <w:rsid w:val="004E71B2"/>
    <w:rsid w:val="00507E06"/>
    <w:rsid w:val="00526A95"/>
    <w:rsid w:val="00544547"/>
    <w:rsid w:val="00553C57"/>
    <w:rsid w:val="00591E65"/>
    <w:rsid w:val="005B3CF0"/>
    <w:rsid w:val="005E64D3"/>
    <w:rsid w:val="00625B7F"/>
    <w:rsid w:val="00703F71"/>
    <w:rsid w:val="00745F2C"/>
    <w:rsid w:val="007651B2"/>
    <w:rsid w:val="00765AC1"/>
    <w:rsid w:val="00783FE0"/>
    <w:rsid w:val="007B09C8"/>
    <w:rsid w:val="007E7123"/>
    <w:rsid w:val="00861742"/>
    <w:rsid w:val="009048BB"/>
    <w:rsid w:val="0092135F"/>
    <w:rsid w:val="00933B82"/>
    <w:rsid w:val="00933D0E"/>
    <w:rsid w:val="00952CF0"/>
    <w:rsid w:val="009A4CA1"/>
    <w:rsid w:val="009C0ED6"/>
    <w:rsid w:val="009F606D"/>
    <w:rsid w:val="00A24923"/>
    <w:rsid w:val="00A25B91"/>
    <w:rsid w:val="00A36832"/>
    <w:rsid w:val="00A46C9A"/>
    <w:rsid w:val="00AA4473"/>
    <w:rsid w:val="00AB7F62"/>
    <w:rsid w:val="00AE3938"/>
    <w:rsid w:val="00B753C0"/>
    <w:rsid w:val="00B82049"/>
    <w:rsid w:val="00BC3DCA"/>
    <w:rsid w:val="00BD3BC3"/>
    <w:rsid w:val="00C0403C"/>
    <w:rsid w:val="00C357B4"/>
    <w:rsid w:val="00C46894"/>
    <w:rsid w:val="00C93FCF"/>
    <w:rsid w:val="00CC07B5"/>
    <w:rsid w:val="00CF2E5A"/>
    <w:rsid w:val="00D169AE"/>
    <w:rsid w:val="00D72473"/>
    <w:rsid w:val="00D848EE"/>
    <w:rsid w:val="00D856B5"/>
    <w:rsid w:val="00D97CA3"/>
    <w:rsid w:val="00DE6F38"/>
    <w:rsid w:val="00DF7633"/>
    <w:rsid w:val="00E23C55"/>
    <w:rsid w:val="00EB07CC"/>
    <w:rsid w:val="00F510BF"/>
    <w:rsid w:val="00F85955"/>
    <w:rsid w:val="00FE21B4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docId w15:val="{BE3D5760-2212-0F4F-8778-266D911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rla" w:eastAsiaTheme="minorHAnsi" w:hAnsi="Karla" w:cs="Karla"/>
        <w:color w:val="3E3E3E" w:themeColor="text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923"/>
    <w:pPr>
      <w:widowControl w:val="0"/>
      <w:spacing w:before="60" w:after="60"/>
    </w:pPr>
  </w:style>
  <w:style w:type="paragraph" w:styleId="Heading1">
    <w:name w:val="heading 1"/>
    <w:basedOn w:val="Bullets"/>
    <w:link w:val="Heading1Char"/>
    <w:uiPriority w:val="1"/>
    <w:qFormat/>
    <w:rsid w:val="00BC3DCA"/>
    <w:pPr>
      <w:numPr>
        <w:numId w:val="0"/>
      </w:numPr>
      <w:spacing w:after="240" w:line="1000" w:lineRule="exact"/>
      <w:outlineLvl w:val="0"/>
    </w:pPr>
    <w:rPr>
      <w:rFonts w:cs="Calibri (Body)"/>
      <w:b/>
      <w:bCs/>
      <w:noProof/>
      <w:color w:val="032C4F" w:themeColor="text1"/>
      <w:spacing w:val="-20"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7F62"/>
    <w:pPr>
      <w:spacing w:line="240" w:lineRule="auto"/>
      <w:outlineLvl w:val="1"/>
    </w:pPr>
    <w:rPr>
      <w:spacing w:val="-15"/>
      <w:sz w:val="34"/>
      <w:szCs w:val="3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7F62"/>
    <w:pPr>
      <w:spacing w:before="240"/>
      <w:outlineLvl w:val="2"/>
    </w:pPr>
    <w:rPr>
      <w:spacing w:val="-1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5AC1"/>
    <w:pPr>
      <w:contextualSpacing w:val="0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DCA"/>
    <w:rPr>
      <w:rFonts w:ascii="Karla" w:eastAsia="Karla" w:hAnsi="Karla" w:cs="Calibri (Body)"/>
      <w:b/>
      <w:bCs/>
      <w:i w:val="0"/>
      <w:noProof/>
      <w:color w:val="032C4F" w:themeColor="text1"/>
      <w:spacing w:val="-20"/>
      <w:kern w:val="0"/>
      <w:sz w:val="52"/>
      <w:szCs w:val="5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5"/>
      <w:kern w:val="0"/>
      <w:sz w:val="34"/>
      <w:szCs w:val="3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3F71"/>
    <w:rPr>
      <w:rFonts w:ascii="Karla" w:hAnsi="Karla"/>
      <w:b w:val="0"/>
      <w:i w:val="0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paragraph" w:customStyle="1" w:styleId="Bullets">
    <w:name w:val="Bullets"/>
    <w:basedOn w:val="ListParagraph"/>
    <w:uiPriority w:val="1"/>
    <w:qFormat/>
    <w:rsid w:val="009A4CA1"/>
    <w:pPr>
      <w:numPr>
        <w:numId w:val="16"/>
      </w:numPr>
      <w:ind w:left="313" w:hanging="283"/>
    </w:pPr>
    <w:rPr>
      <w:lang w:val="en-US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93F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5AC1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2"/>
      <w:szCs w:val="22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003E69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rFonts w:ascii="Karla" w:hAnsi="Karla"/>
      <w:b w:val="0"/>
      <w:i w:val="0"/>
      <w:color w:val="032C4F" w:themeColor="hyperlink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rFonts w:ascii="Karla" w:hAnsi="Karla"/>
      <w:b w:val="0"/>
      <w:i w:val="0"/>
      <w:color w:val="032C4F" w:themeColor="followedHyperlink"/>
      <w:sz w:val="20"/>
      <w:u w:val="single"/>
    </w:rPr>
  </w:style>
  <w:style w:type="paragraph" w:styleId="NoSpacing">
    <w:name w:val="No Spacing"/>
    <w:uiPriority w:val="1"/>
    <w:qFormat/>
    <w:rsid w:val="00063603"/>
    <w:pPr>
      <w:widowControl w:val="0"/>
    </w:pPr>
    <w:rPr>
      <w:rFonts w:eastAsia="Karla"/>
      <w:color w:val="003E69" w:themeColor="accent6"/>
    </w:rPr>
  </w:style>
  <w:style w:type="paragraph" w:customStyle="1" w:styleId="Secondlevelbullets">
    <w:name w:val="Second level bullets"/>
    <w:basedOn w:val="Bullets"/>
    <w:uiPriority w:val="1"/>
    <w:qFormat/>
    <w:rsid w:val="00B753C0"/>
    <w:pPr>
      <w:numPr>
        <w:ilvl w:val="1"/>
        <w:numId w:val="1"/>
      </w:numPr>
      <w:ind w:left="993" w:hanging="284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783FE0"/>
    <w:rPr>
      <w:rFonts w:ascii="Karla" w:hAnsi="Karla"/>
      <w:b w:val="0"/>
      <w:i w:val="0"/>
      <w:color w:val="003E69" w:themeColor="accent6"/>
      <w:sz w:val="16"/>
      <w:szCs w:val="16"/>
    </w:rPr>
  </w:style>
  <w:style w:type="table" w:styleId="TableGrid">
    <w:name w:val="Table Grid"/>
    <w:basedOn w:val="TableNormal"/>
    <w:uiPriority w:val="39"/>
    <w:rsid w:val="0078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CF2E5A"/>
    <w:tblPr>
      <w:tblStyleRowBandSize w:val="1"/>
      <w:tblStyleColBandSize w:val="1"/>
      <w:tblBorders>
        <w:top w:val="single" w:sz="4" w:space="0" w:color="98D9CD" w:themeColor="accent2" w:themeTint="99"/>
        <w:left w:val="single" w:sz="4" w:space="0" w:color="98D9CD" w:themeColor="accent2" w:themeTint="99"/>
        <w:bottom w:val="single" w:sz="4" w:space="0" w:color="98D9CD" w:themeColor="accent2" w:themeTint="99"/>
        <w:right w:val="single" w:sz="4" w:space="0" w:color="98D9CD" w:themeColor="accent2" w:themeTint="99"/>
        <w:insideH w:val="single" w:sz="4" w:space="0" w:color="98D9CD" w:themeColor="accent2" w:themeTint="99"/>
        <w:insideV w:val="single" w:sz="4" w:space="0" w:color="98D9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C1AD" w:themeColor="accent2"/>
          <w:left w:val="single" w:sz="4" w:space="0" w:color="54C1AD" w:themeColor="accent2"/>
          <w:bottom w:val="single" w:sz="4" w:space="0" w:color="54C1AD" w:themeColor="accent2"/>
          <w:right w:val="single" w:sz="4" w:space="0" w:color="54C1AD" w:themeColor="accent2"/>
          <w:insideH w:val="nil"/>
          <w:insideV w:val="nil"/>
        </w:tcBorders>
        <w:shd w:val="clear" w:color="auto" w:fill="54C1AD" w:themeFill="accent2"/>
      </w:tcPr>
    </w:tblStylePr>
    <w:tblStylePr w:type="lastRow">
      <w:rPr>
        <w:b/>
        <w:bCs/>
      </w:rPr>
      <w:tblPr/>
      <w:tcPr>
        <w:tcBorders>
          <w:top w:val="double" w:sz="4" w:space="0" w:color="54C1A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E" w:themeFill="accent2" w:themeFillTint="33"/>
      </w:tcPr>
    </w:tblStylePr>
    <w:tblStylePr w:type="band1Horz">
      <w:tblPr/>
      <w:tcPr>
        <w:shd w:val="clear" w:color="auto" w:fill="DCF2EE" w:themeFill="accent2" w:themeFillTint="33"/>
      </w:tcPr>
    </w:tblStylePr>
  </w:style>
  <w:style w:type="table" w:customStyle="1" w:styleId="EMPHNTurquoise">
    <w:name w:val="EMPHN Turquoise"/>
    <w:basedOn w:val="TableGrid"/>
    <w:uiPriority w:val="99"/>
    <w:rsid w:val="00A24923"/>
    <w:rPr>
      <w:color w:val="003E69" w:themeColor="accent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CF7F3"/>
      <w:vAlign w:val="center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CCE9E2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7F3"/>
      </w:tcPr>
    </w:tblStylePr>
    <w:tblStylePr w:type="firstCol">
      <w:rPr>
        <w:b w:val="0"/>
        <w:bCs/>
      </w:rPr>
      <w:tblPr/>
      <w:tcPr>
        <w:shd w:val="clear" w:color="auto" w:fill="ECF7F3"/>
      </w:tcPr>
    </w:tblStylePr>
    <w:tblStylePr w:type="lastCol">
      <w:rPr>
        <w:b w:val="0"/>
        <w:bCs/>
      </w:rPr>
      <w:tblPr/>
      <w:tcPr>
        <w:shd w:val="clear" w:color="auto" w:fill="ECF7F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Purple">
    <w:name w:val="EMPHN Purple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4EEF7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D6E7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EMPHNPink">
    <w:name w:val="EMPHN Pink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EEEED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F9D2D3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rFonts w:ascii="Karla" w:hAnsi="Karla"/>
        <w:b w:val="0"/>
        <w:i w:val="0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</w:tcPr>
    </w:tblStylePr>
    <w:tblStylePr w:type="band2Vert">
      <w:tblPr/>
      <w:tcPr>
        <w:tcBorders>
          <w:insideH w:val="single" w:sz="4" w:space="0" w:color="B7B7B6"/>
        </w:tcBorders>
        <w:shd w:val="clear" w:color="auto" w:fill="FEEEED"/>
      </w:tcPr>
    </w:tblStylePr>
  </w:style>
  <w:style w:type="table" w:customStyle="1" w:styleId="EMPHNYellow">
    <w:name w:val="EMPHN Yellow"/>
    <w:basedOn w:val="TableGrid"/>
    <w:uiPriority w:val="99"/>
    <w:rsid w:val="00A2492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FF8EA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DC8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Blue">
    <w:name w:val="EMPHN Blue"/>
    <w:basedOn w:val="TableGrid"/>
    <w:uiPriority w:val="99"/>
    <w:rsid w:val="007B09C8"/>
    <w:pPr>
      <w:spacing w:after="60"/>
    </w:pPr>
    <w:rPr>
      <w:rFonts w:cs="Times New Roman (Body CS)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6EDF5"/>
      <w:vAlign w:val="center"/>
    </w:tcPr>
    <w:tblStylePr w:type="firstRow">
      <w:rPr>
        <w:b/>
        <w:color w:val="3E3E3E" w:themeColor="text2"/>
      </w:rPr>
      <w:tblPr/>
      <w:tcPr>
        <w:shd w:val="clear" w:color="auto" w:fill="BED4E2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5Dark-Accent2">
    <w:name w:val="Grid Table 5 Dark Accent 2"/>
    <w:basedOn w:val="EMPHNTurquoise"/>
    <w:uiPriority w:val="50"/>
    <w:rsid w:val="00745F2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E" w:themeFill="accent2" w:themeFillTint="33"/>
    </w:tcPr>
    <w:tblStylePr w:type="firstRow">
      <w:rPr>
        <w:rFonts w:ascii="Karla" w:hAnsi="Karla"/>
        <w:b/>
        <w:bCs/>
        <w:i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54C1AD" w:themeColor="accent2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BAE6DE" w:themeFill="accent2" w:themeFillTint="66"/>
      </w:tcPr>
    </w:tblStylePr>
    <w:tblStylePr w:type="band1Horz">
      <w:tblPr/>
      <w:tcPr>
        <w:shd w:val="clear" w:color="auto" w:fill="BAE6DE" w:themeFill="accent2" w:themeFillTint="66"/>
      </w:tcPr>
    </w:tblStylePr>
  </w:style>
  <w:style w:type="table" w:customStyle="1" w:styleId="EMPHNInstructions">
    <w:name w:val="EMPHN Instructions"/>
    <w:basedOn w:val="TableGrid"/>
    <w:uiPriority w:val="99"/>
    <w:rsid w:val="00AE393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  <w:style w:type="character" w:customStyle="1" w:styleId="eop">
    <w:name w:val="eop"/>
    <w:basedOn w:val="DefaultParagraphFont"/>
    <w:rsid w:val="00A4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3E3E3E"/>
      </a:dk2>
      <a:lt2>
        <a:srgbClr val="ECECEC"/>
      </a:lt2>
      <a:accent1>
        <a:srgbClr val="0291BA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003E69"/>
      </a:accent6>
      <a:hlink>
        <a:srgbClr val="032C4F"/>
      </a:hlink>
      <a:folHlink>
        <a:srgbClr val="032C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1cc57-7013-43a5-a55c-eaeefe9ef84f" xsi:nil="true"/>
    <lcf76f155ced4ddcb4097134ff3c332f xmlns="cb3d7f30-f7bd-4af5-802e-b80578916b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AC39073AAA040920019802745AA60" ma:contentTypeVersion="15" ma:contentTypeDescription="Create a new document." ma:contentTypeScope="" ma:versionID="eaf1ec53c3d591f6080992ab986389e2">
  <xsd:schema xmlns:xsd="http://www.w3.org/2001/XMLSchema" xmlns:xs="http://www.w3.org/2001/XMLSchema" xmlns:p="http://schemas.microsoft.com/office/2006/metadata/properties" xmlns:ns2="cb3d7f30-f7bd-4af5-802e-b80578916bd5" xmlns:ns3="0751cc57-7013-43a5-a55c-eaeefe9ef84f" targetNamespace="http://schemas.microsoft.com/office/2006/metadata/properties" ma:root="true" ma:fieldsID="4a0c4db90e19fe7d00c77047f6b8358a" ns2:_="" ns3:_="">
    <xsd:import namespace="cb3d7f30-f7bd-4af5-802e-b80578916bd5"/>
    <xsd:import namespace="0751cc57-7013-43a5-a55c-eaeefe9ef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7f30-f7bd-4af5-802e-b80578916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cc57-7013-43a5-a55c-eaeefe9ef8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ad870e-a8cd-4a25-9467-7bc516c561a5}" ma:internalName="TaxCatchAll" ma:showField="CatchAllData" ma:web="0751cc57-7013-43a5-a55c-eaeefe9ef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49BF7-6048-4A91-B9D8-3692FAA2766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cb3d7f30-f7bd-4af5-802e-b80578916bd5"/>
    <ds:schemaRef ds:uri="http://purl.org/dc/terms/"/>
    <ds:schemaRef ds:uri="http://schemas.microsoft.com/office/infopath/2007/PartnerControls"/>
    <ds:schemaRef ds:uri="0751cc57-7013-43a5-a55c-eaeefe9ef84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5BB915-C4F9-4A61-AE13-70FEC32A4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CC6BE-FE25-4FD2-9257-28C27AD0E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d7f30-f7bd-4af5-802e-b80578916bd5"/>
    <ds:schemaRef ds:uri="0751cc57-7013-43a5-a55c-eaeefe9e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3924</Characters>
  <Application>Microsoft Office Word</Application>
  <DocSecurity>0</DocSecurity>
  <Lines>194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Nifa Harikrishnan</cp:lastModifiedBy>
  <cp:revision>14</cp:revision>
  <cp:lastPrinted>2024-04-08T05:30:00Z</cp:lastPrinted>
  <dcterms:created xsi:type="dcterms:W3CDTF">2024-05-27T05:41:00Z</dcterms:created>
  <dcterms:modified xsi:type="dcterms:W3CDTF">2026-03-29T10:37:00Z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0x010100106AC39073AAA040920019802745AA60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