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8584B" w14:textId="48136880" w:rsidR="009B1A9B" w:rsidRPr="00864795" w:rsidRDefault="00864795" w:rsidP="00212181">
      <w:pPr>
        <w:pStyle w:val="Heading1"/>
        <w:spacing w:before="0" w:after="120"/>
      </w:pPr>
      <w:r w:rsidRPr="00864795">
        <w:t xml:space="preserve">MyMedicare </w:t>
      </w:r>
      <w:r w:rsidR="004E5F49">
        <w:t xml:space="preserve">Patient </w:t>
      </w:r>
      <w:r w:rsidRPr="00864795">
        <w:t xml:space="preserve">Registration Checklist </w:t>
      </w:r>
    </w:p>
    <w:p w14:paraId="79E01604" w14:textId="77777777" w:rsidR="00BA384F" w:rsidRPr="00817BE2" w:rsidRDefault="00BA384F" w:rsidP="00212181">
      <w:pPr>
        <w:spacing w:after="120" w:line="240" w:lineRule="auto"/>
        <w:jc w:val="both"/>
        <w:rPr>
          <w:rFonts w:ascii="Aptos" w:hAnsi="Aptos"/>
          <w:b/>
          <w:bCs/>
          <w:sz w:val="2"/>
          <w:szCs w:val="2"/>
        </w:rPr>
      </w:pPr>
    </w:p>
    <w:p w14:paraId="2CD0ED11" w14:textId="5ADEAAAB" w:rsidR="00C56B37" w:rsidRDefault="00864795" w:rsidP="00212181">
      <w:pPr>
        <w:spacing w:after="120" w:line="240" w:lineRule="auto"/>
        <w:jc w:val="both"/>
        <w:rPr>
          <w:rFonts w:ascii="Aptos" w:hAnsi="Aptos"/>
          <w:szCs w:val="20"/>
        </w:rPr>
      </w:pPr>
      <w:hyperlink r:id="rId11" w:history="1">
        <w:r w:rsidRPr="009D5B91">
          <w:rPr>
            <w:rStyle w:val="Hyperlink"/>
            <w:rFonts w:ascii="Aptos" w:hAnsi="Aptos"/>
            <w:b/>
            <w:bCs/>
            <w:szCs w:val="20"/>
          </w:rPr>
          <w:t>Medicare</w:t>
        </w:r>
      </w:hyperlink>
      <w:r w:rsidRPr="00864795">
        <w:rPr>
          <w:rFonts w:ascii="Aptos" w:hAnsi="Aptos"/>
          <w:szCs w:val="20"/>
        </w:rPr>
        <w:t xml:space="preserve"> ensures Australians and eligible visitors can access health services at little or no cost. </w:t>
      </w:r>
    </w:p>
    <w:p w14:paraId="0F493A13" w14:textId="58C93E00" w:rsidR="00864795" w:rsidRPr="00864795" w:rsidRDefault="00864795" w:rsidP="00212181">
      <w:pPr>
        <w:spacing w:after="120" w:line="240" w:lineRule="auto"/>
        <w:jc w:val="both"/>
        <w:rPr>
          <w:rFonts w:ascii="Aptos" w:hAnsi="Aptos"/>
          <w:szCs w:val="20"/>
        </w:rPr>
      </w:pPr>
      <w:hyperlink r:id="rId12" w:history="1">
        <w:r w:rsidRPr="008C2445">
          <w:rPr>
            <w:rStyle w:val="Hyperlink"/>
            <w:rFonts w:ascii="Aptos" w:hAnsi="Aptos"/>
            <w:b/>
            <w:bCs/>
            <w:szCs w:val="20"/>
          </w:rPr>
          <w:t>MyMedicare</w:t>
        </w:r>
      </w:hyperlink>
      <w:r w:rsidRPr="00864795">
        <w:rPr>
          <w:rFonts w:ascii="Aptos" w:hAnsi="Aptos"/>
          <w:szCs w:val="20"/>
        </w:rPr>
        <w:t xml:space="preserve"> allow</w:t>
      </w:r>
      <w:r w:rsidR="00AC2AF7">
        <w:rPr>
          <w:rFonts w:ascii="Aptos" w:hAnsi="Aptos"/>
          <w:szCs w:val="20"/>
        </w:rPr>
        <w:t>s</w:t>
      </w:r>
      <w:r w:rsidRPr="00864795">
        <w:rPr>
          <w:rFonts w:ascii="Aptos" w:hAnsi="Aptos"/>
          <w:szCs w:val="20"/>
        </w:rPr>
        <w:t xml:space="preserve"> patients to </w:t>
      </w:r>
      <w:r w:rsidRPr="00864795">
        <w:rPr>
          <w:rFonts w:ascii="Aptos" w:hAnsi="Aptos"/>
          <w:b/>
          <w:bCs/>
          <w:szCs w:val="20"/>
        </w:rPr>
        <w:t>voluntarily register</w:t>
      </w:r>
      <w:r w:rsidRPr="00864795">
        <w:rPr>
          <w:rFonts w:ascii="Aptos" w:hAnsi="Aptos"/>
          <w:szCs w:val="20"/>
        </w:rPr>
        <w:t xml:space="preserve"> with their preferred general practice</w:t>
      </w:r>
      <w:r w:rsidR="00603766">
        <w:rPr>
          <w:rFonts w:ascii="Aptos" w:hAnsi="Aptos"/>
          <w:szCs w:val="20"/>
        </w:rPr>
        <w:t xml:space="preserve"> to</w:t>
      </w:r>
      <w:r w:rsidRPr="00864795">
        <w:rPr>
          <w:rFonts w:ascii="Aptos" w:hAnsi="Aptos"/>
          <w:szCs w:val="20"/>
        </w:rPr>
        <w:t xml:space="preserve"> improve continuity of care.</w:t>
      </w:r>
    </w:p>
    <w:p w14:paraId="4340C0D5" w14:textId="77777777" w:rsidR="00BA384F" w:rsidRPr="00817BE2" w:rsidRDefault="00BA384F" w:rsidP="00212181">
      <w:pPr>
        <w:spacing w:after="120" w:line="240" w:lineRule="auto"/>
        <w:jc w:val="both"/>
        <w:rPr>
          <w:rFonts w:ascii="Aptos" w:hAnsi="Aptos"/>
          <w:sz w:val="2"/>
          <w:szCs w:val="2"/>
        </w:rPr>
      </w:pPr>
    </w:p>
    <w:p w14:paraId="07459FCE" w14:textId="04352FB0" w:rsidR="00864795" w:rsidRPr="00864795" w:rsidRDefault="00864795" w:rsidP="00212181">
      <w:pPr>
        <w:spacing w:after="120" w:line="240" w:lineRule="auto"/>
        <w:jc w:val="both"/>
        <w:rPr>
          <w:rFonts w:ascii="Aptos" w:hAnsi="Aptos"/>
          <w:szCs w:val="20"/>
        </w:rPr>
      </w:pPr>
      <w:r w:rsidRPr="00864795">
        <w:rPr>
          <w:rFonts w:ascii="Aptos" w:hAnsi="Aptos"/>
          <w:b/>
          <w:bCs/>
          <w:szCs w:val="20"/>
        </w:rPr>
        <w:t xml:space="preserve"> </w:t>
      </w:r>
      <w:r w:rsidR="008F1F80">
        <w:rPr>
          <w:rStyle w:val="Heading3Char"/>
        </w:rPr>
        <w:t>MyMedicare</w:t>
      </w:r>
      <w:r w:rsidRPr="00FA0DBC">
        <w:rPr>
          <w:rStyle w:val="Heading3Char"/>
        </w:rPr>
        <w:t xml:space="preserve"> </w:t>
      </w:r>
      <w:r w:rsidR="004E5F49">
        <w:rPr>
          <w:rStyle w:val="Heading3Char"/>
        </w:rPr>
        <w:t>patient registration</w:t>
      </w:r>
      <w:r w:rsidR="00E5232C">
        <w:rPr>
          <w:rStyle w:val="Heading3Char"/>
        </w:rPr>
        <w:t>:</w:t>
      </w:r>
      <w:r w:rsidR="004E5F49">
        <w:rPr>
          <w:rStyle w:val="Heading3Char"/>
        </w:rPr>
        <w:t xml:space="preserve"> </w:t>
      </w:r>
      <w:r w:rsidR="005B7A37">
        <w:rPr>
          <w:rStyle w:val="Heading3Char"/>
        </w:rPr>
        <w:t>k</w:t>
      </w:r>
      <w:r w:rsidR="00D170CF">
        <w:rPr>
          <w:rStyle w:val="Heading3Char"/>
        </w:rPr>
        <w:t>ey</w:t>
      </w:r>
      <w:r w:rsidRPr="00FA0DBC">
        <w:rPr>
          <w:rStyle w:val="Heading3Char"/>
        </w:rPr>
        <w:t xml:space="preserve"> </w:t>
      </w:r>
      <w:r w:rsidR="005B7A37">
        <w:rPr>
          <w:rStyle w:val="Heading3Char"/>
        </w:rPr>
        <w:t>points</w:t>
      </w:r>
      <w:r w:rsidRPr="00FA0DBC">
        <w:rPr>
          <w:rStyle w:val="Heading3Char"/>
        </w:rPr>
        <w:t xml:space="preserve"> for </w:t>
      </w:r>
      <w:r w:rsidR="005B7A37">
        <w:rPr>
          <w:rStyle w:val="Heading3Char"/>
        </w:rPr>
        <w:t>y</w:t>
      </w:r>
      <w:r w:rsidRPr="00FA0DBC">
        <w:rPr>
          <w:rStyle w:val="Heading3Char"/>
        </w:rPr>
        <w:t xml:space="preserve">our </w:t>
      </w:r>
      <w:r w:rsidR="00637DBA">
        <w:rPr>
          <w:rStyle w:val="Heading3Char"/>
        </w:rPr>
        <w:t>p</w:t>
      </w:r>
      <w:r w:rsidRPr="00FA0DBC">
        <w:rPr>
          <w:rStyle w:val="Heading3Char"/>
        </w:rPr>
        <w:t>ractice</w:t>
      </w:r>
    </w:p>
    <w:p w14:paraId="15105E75" w14:textId="5F7E4E92" w:rsidR="00864795" w:rsidRPr="00864795" w:rsidRDefault="00190F68" w:rsidP="00212181">
      <w:pPr>
        <w:numPr>
          <w:ilvl w:val="0"/>
          <w:numId w:val="16"/>
        </w:numPr>
        <w:spacing w:after="120" w:line="240" w:lineRule="auto"/>
        <w:jc w:val="both"/>
        <w:rPr>
          <w:rFonts w:ascii="Aptos" w:hAnsi="Aptos"/>
          <w:szCs w:val="20"/>
        </w:rPr>
      </w:pPr>
      <w:r>
        <w:rPr>
          <w:rFonts w:ascii="Aptos" w:hAnsi="Aptos"/>
          <w:b/>
          <w:bCs/>
          <w:szCs w:val="20"/>
        </w:rPr>
        <w:t xml:space="preserve">MyMedicare </w:t>
      </w:r>
      <w:r w:rsidR="00864795" w:rsidRPr="00864795">
        <w:rPr>
          <w:rFonts w:ascii="Aptos" w:hAnsi="Aptos"/>
          <w:b/>
          <w:bCs/>
          <w:szCs w:val="20"/>
        </w:rPr>
        <w:t>Registration is voluntary and free</w:t>
      </w:r>
      <w:r w:rsidR="00864795" w:rsidRPr="00864795">
        <w:rPr>
          <w:rFonts w:ascii="Aptos" w:hAnsi="Aptos"/>
          <w:szCs w:val="20"/>
        </w:rPr>
        <w:t xml:space="preserve"> for anyone with a Medicare or DVA Veteran Card.</w:t>
      </w:r>
    </w:p>
    <w:p w14:paraId="2C915958" w14:textId="77777777" w:rsidR="0010015F" w:rsidRDefault="00864795" w:rsidP="00B00E1C">
      <w:pPr>
        <w:numPr>
          <w:ilvl w:val="0"/>
          <w:numId w:val="16"/>
        </w:numPr>
        <w:spacing w:after="120" w:line="240" w:lineRule="auto"/>
        <w:jc w:val="both"/>
        <w:rPr>
          <w:rFonts w:ascii="Aptos" w:hAnsi="Aptos"/>
          <w:szCs w:val="20"/>
        </w:rPr>
      </w:pPr>
      <w:r w:rsidRPr="00864795">
        <w:rPr>
          <w:rFonts w:ascii="Aptos" w:hAnsi="Aptos"/>
          <w:szCs w:val="20"/>
        </w:rPr>
        <w:t xml:space="preserve">Patients </w:t>
      </w:r>
      <w:r w:rsidRPr="00864795">
        <w:rPr>
          <w:rFonts w:ascii="Aptos" w:hAnsi="Aptos"/>
          <w:b/>
          <w:bCs/>
          <w:szCs w:val="20"/>
        </w:rPr>
        <w:t>do not need to register</w:t>
      </w:r>
      <w:r>
        <w:rPr>
          <w:rFonts w:ascii="Aptos" w:hAnsi="Aptos"/>
          <w:b/>
          <w:szCs w:val="20"/>
        </w:rPr>
        <w:t xml:space="preserve"> </w:t>
      </w:r>
      <w:r w:rsidR="00745D57">
        <w:rPr>
          <w:rFonts w:ascii="Aptos" w:hAnsi="Aptos"/>
          <w:b/>
          <w:bCs/>
          <w:szCs w:val="20"/>
        </w:rPr>
        <w:t>for MyMedicare</w:t>
      </w:r>
      <w:r w:rsidRPr="00864795">
        <w:rPr>
          <w:rFonts w:ascii="Aptos" w:hAnsi="Aptos"/>
          <w:szCs w:val="20"/>
        </w:rPr>
        <w:t xml:space="preserve"> to</w:t>
      </w:r>
    </w:p>
    <w:p w14:paraId="30045FF5" w14:textId="6026460B" w:rsidR="00864795" w:rsidRPr="00864795" w:rsidRDefault="00864795" w:rsidP="00B00E1C">
      <w:pPr>
        <w:numPr>
          <w:ilvl w:val="1"/>
          <w:numId w:val="16"/>
        </w:numPr>
        <w:spacing w:after="120" w:line="240" w:lineRule="auto"/>
        <w:jc w:val="both"/>
        <w:rPr>
          <w:rFonts w:ascii="Aptos" w:hAnsi="Aptos"/>
          <w:szCs w:val="20"/>
        </w:rPr>
      </w:pPr>
      <w:r w:rsidRPr="00864795">
        <w:rPr>
          <w:rFonts w:ascii="Aptos" w:hAnsi="Aptos"/>
          <w:szCs w:val="20"/>
        </w:rPr>
        <w:t>continue receiving care or</w:t>
      </w:r>
      <w:r w:rsidR="00E5232C">
        <w:rPr>
          <w:rFonts w:ascii="Aptos" w:hAnsi="Aptos"/>
          <w:szCs w:val="20"/>
        </w:rPr>
        <w:t xml:space="preserve"> to</w:t>
      </w:r>
      <w:r w:rsidRPr="00864795">
        <w:rPr>
          <w:rFonts w:ascii="Aptos" w:hAnsi="Aptos"/>
          <w:szCs w:val="20"/>
        </w:rPr>
        <w:t xml:space="preserve"> access GP Chronic Condition Management Plan (GPCCMP) services</w:t>
      </w:r>
    </w:p>
    <w:p w14:paraId="1358D623" w14:textId="16530C1C" w:rsidR="00066A13" w:rsidRPr="00864795" w:rsidRDefault="00066A13" w:rsidP="00B00E1C">
      <w:pPr>
        <w:numPr>
          <w:ilvl w:val="1"/>
          <w:numId w:val="16"/>
        </w:numPr>
        <w:spacing w:after="120" w:line="240" w:lineRule="auto"/>
        <w:jc w:val="both"/>
        <w:rPr>
          <w:rFonts w:ascii="Aptos" w:hAnsi="Aptos"/>
          <w:szCs w:val="20"/>
        </w:rPr>
      </w:pPr>
      <w:r>
        <w:rPr>
          <w:rFonts w:ascii="Aptos" w:hAnsi="Aptos"/>
          <w:szCs w:val="20"/>
        </w:rPr>
        <w:t xml:space="preserve">continue receiving care or access to Mental Health Treatment plans or Better Access MBS services </w:t>
      </w:r>
    </w:p>
    <w:p w14:paraId="32E20F59" w14:textId="377A5F42" w:rsidR="00864795" w:rsidRPr="00864795" w:rsidRDefault="00745D57" w:rsidP="00212181">
      <w:pPr>
        <w:numPr>
          <w:ilvl w:val="0"/>
          <w:numId w:val="16"/>
        </w:numPr>
        <w:spacing w:after="120" w:line="240" w:lineRule="auto"/>
        <w:jc w:val="both"/>
        <w:rPr>
          <w:rFonts w:ascii="Aptos" w:hAnsi="Aptos"/>
          <w:szCs w:val="20"/>
        </w:rPr>
      </w:pPr>
      <w:r>
        <w:rPr>
          <w:rFonts w:ascii="Aptos" w:hAnsi="Aptos"/>
          <w:szCs w:val="20"/>
        </w:rPr>
        <w:t xml:space="preserve">MyMedicare </w:t>
      </w:r>
      <w:r w:rsidR="00864795" w:rsidRPr="00864795">
        <w:rPr>
          <w:rFonts w:ascii="Aptos" w:hAnsi="Aptos"/>
          <w:szCs w:val="20"/>
        </w:rPr>
        <w:t xml:space="preserve">Registered patients may receive </w:t>
      </w:r>
      <w:r w:rsidR="00864795" w:rsidRPr="00864795">
        <w:rPr>
          <w:rFonts w:ascii="Aptos" w:hAnsi="Aptos"/>
          <w:b/>
          <w:bCs/>
          <w:szCs w:val="20"/>
        </w:rPr>
        <w:t>additional benefits</w:t>
      </w:r>
      <w:r w:rsidR="00864795" w:rsidRPr="00864795">
        <w:rPr>
          <w:rFonts w:ascii="Aptos" w:hAnsi="Aptos"/>
          <w:szCs w:val="20"/>
        </w:rPr>
        <w:t>, like longer MBS-funded telehealth consults.</w:t>
      </w:r>
    </w:p>
    <w:p w14:paraId="25739EE7" w14:textId="2B2CA801" w:rsidR="00864795" w:rsidRPr="00864795" w:rsidRDefault="00864795" w:rsidP="00212181">
      <w:pPr>
        <w:spacing w:after="120" w:line="240" w:lineRule="auto"/>
        <w:jc w:val="both"/>
        <w:rPr>
          <w:rFonts w:ascii="Aptos" w:hAnsi="Aptos"/>
          <w:szCs w:val="20"/>
        </w:rPr>
      </w:pPr>
      <w:r w:rsidRPr="00864795">
        <w:rPr>
          <w:rFonts w:ascii="Aptos" w:hAnsi="Aptos"/>
          <w:szCs w:val="20"/>
        </w:rPr>
        <w:t xml:space="preserve">Fact Sheet: Introducing MyMedicare </w:t>
      </w:r>
      <w:hyperlink r:id="rId13" w:history="1">
        <w:r w:rsidR="00E47BEB" w:rsidRPr="00E47BEB">
          <w:rPr>
            <w:rStyle w:val="Hyperlink"/>
            <w:rFonts w:ascii="Aptos" w:hAnsi="Aptos"/>
            <w:szCs w:val="20"/>
          </w:rPr>
          <w:t>Introducing MyMedicare – Fact sheet | Australian Government Department of Health, Disability and Ageing</w:t>
        </w:r>
      </w:hyperlink>
    </w:p>
    <w:p w14:paraId="5FA3C807" w14:textId="77777777" w:rsidR="00864795" w:rsidRDefault="00864795" w:rsidP="00212181">
      <w:pPr>
        <w:spacing w:after="120" w:line="240" w:lineRule="auto"/>
        <w:jc w:val="both"/>
      </w:pPr>
      <w:r w:rsidRPr="00864795">
        <w:rPr>
          <w:rFonts w:ascii="Aptos" w:hAnsi="Aptos"/>
          <w:szCs w:val="20"/>
        </w:rPr>
        <w:t xml:space="preserve">MyMedicare &amp; Chronic Condition Management </w:t>
      </w:r>
      <w:hyperlink r:id="rId14">
        <w:r w:rsidRPr="00864795">
          <w:rPr>
            <w:rStyle w:val="Hyperlink"/>
            <w:rFonts w:ascii="Aptos" w:hAnsi="Aptos"/>
            <w:szCs w:val="20"/>
          </w:rPr>
          <w:t>MyMedicare and Chronic Condition Management MBS items and Patient Case Studies | Australian Government Department of Health, Disability and Ageing</w:t>
        </w:r>
      </w:hyperlink>
    </w:p>
    <w:p w14:paraId="4025EEA5" w14:textId="515C5645" w:rsidR="00066A13" w:rsidRPr="000D2807" w:rsidRDefault="00066A13" w:rsidP="00B00E1C">
      <w:pPr>
        <w:spacing w:after="120" w:line="240" w:lineRule="auto"/>
        <w:jc w:val="both"/>
        <w:rPr>
          <w:rFonts w:ascii="Aptos" w:hAnsi="Aptos"/>
          <w:szCs w:val="20"/>
        </w:rPr>
      </w:pPr>
      <w:r w:rsidRPr="000D2807">
        <w:rPr>
          <w:rFonts w:ascii="Aptos" w:hAnsi="Aptos"/>
        </w:rPr>
        <w:t xml:space="preserve">Better Access and Mental Health Treatment plans </w:t>
      </w:r>
      <w:hyperlink r:id="rId15" w:history="1">
        <w:r w:rsidR="000D2807" w:rsidRPr="000D2807">
          <w:rPr>
            <w:rStyle w:val="Hyperlink"/>
            <w:rFonts w:ascii="Aptos" w:hAnsi="Aptos"/>
          </w:rPr>
          <w:t>Better Access initiative | Australian Government Department of Health, Disability and Ageing</w:t>
        </w:r>
      </w:hyperlink>
    </w:p>
    <w:p w14:paraId="293D92A8" w14:textId="4CA8A913" w:rsidR="00864795" w:rsidRPr="00393BB4" w:rsidRDefault="00864795" w:rsidP="00393BB4">
      <w:pPr>
        <w:spacing w:before="240" w:after="120" w:line="240" w:lineRule="auto"/>
        <w:ind w:firstLine="426"/>
        <w:jc w:val="center"/>
        <w:rPr>
          <w:rStyle w:val="SubtleEmphasis"/>
          <w:color w:val="70A8D9" w:themeColor="accent2" w:themeTint="99"/>
        </w:rPr>
      </w:pPr>
      <w:bookmarkStart w:id="0" w:name="_Hlk211002617"/>
      <w:r w:rsidRPr="008E4581">
        <w:rPr>
          <w:rStyle w:val="SubtleEmphasis"/>
          <w:color w:val="05A285" w:themeColor="accent3"/>
        </w:rPr>
        <w:t xml:space="preserve">✅ </w:t>
      </w:r>
      <w:r w:rsidRPr="008E4581">
        <w:rPr>
          <w:rStyle w:val="SubtleEmphasis"/>
          <w:color w:val="293272" w:themeColor="accent1"/>
        </w:rPr>
        <w:t xml:space="preserve">What </w:t>
      </w:r>
      <w:r w:rsidR="00393BB4" w:rsidRPr="008E4581">
        <w:rPr>
          <w:rStyle w:val="SubtleEmphasis"/>
          <w:color w:val="293272" w:themeColor="accent1"/>
        </w:rPr>
        <w:t xml:space="preserve">Practice Staff </w:t>
      </w:r>
      <w:r w:rsidRPr="008E4581">
        <w:rPr>
          <w:rStyle w:val="SubtleEmphasis"/>
          <w:color w:val="293272" w:themeColor="accent1"/>
        </w:rPr>
        <w:t>Can Do</w:t>
      </w:r>
    </w:p>
    <w:bookmarkEnd w:id="0"/>
    <w:p w14:paraId="412589B5" w14:textId="0E5FB401" w:rsidR="00864795" w:rsidRPr="00527320" w:rsidRDefault="00864795" w:rsidP="00B00E1C">
      <w:pPr>
        <w:pStyle w:val="ListParagraph"/>
        <w:numPr>
          <w:ilvl w:val="0"/>
          <w:numId w:val="30"/>
        </w:numPr>
        <w:spacing w:after="120" w:line="240" w:lineRule="auto"/>
        <w:contextualSpacing w:val="0"/>
        <w:jc w:val="both"/>
        <w:rPr>
          <w:rFonts w:ascii="Aptos" w:hAnsi="Aptos"/>
          <w:szCs w:val="20"/>
        </w:rPr>
      </w:pPr>
      <w:r w:rsidRPr="00527320">
        <w:rPr>
          <w:rFonts w:ascii="Aptos" w:hAnsi="Aptos"/>
          <w:b/>
          <w:bCs/>
          <w:szCs w:val="20"/>
        </w:rPr>
        <w:t>Review your policies</w:t>
      </w:r>
      <w:r w:rsidRPr="00527320">
        <w:rPr>
          <w:rFonts w:ascii="Aptos" w:hAnsi="Aptos"/>
          <w:szCs w:val="20"/>
        </w:rPr>
        <w:t xml:space="preserve"> to </w:t>
      </w:r>
      <w:r w:rsidR="00B3357D">
        <w:rPr>
          <w:rFonts w:ascii="Aptos" w:hAnsi="Aptos"/>
          <w:szCs w:val="20"/>
        </w:rPr>
        <w:t>ensure</w:t>
      </w:r>
      <w:r w:rsidRPr="00527320">
        <w:rPr>
          <w:rFonts w:ascii="Aptos" w:hAnsi="Aptos"/>
          <w:szCs w:val="20"/>
        </w:rPr>
        <w:t xml:space="preserve"> </w:t>
      </w:r>
      <w:r w:rsidR="00DD20D8">
        <w:rPr>
          <w:rFonts w:ascii="Aptos" w:hAnsi="Aptos"/>
          <w:szCs w:val="20"/>
        </w:rPr>
        <w:t xml:space="preserve">that </w:t>
      </w:r>
      <w:r w:rsidR="004364BA">
        <w:rPr>
          <w:rFonts w:ascii="Aptos" w:hAnsi="Aptos"/>
          <w:szCs w:val="20"/>
        </w:rPr>
        <w:t xml:space="preserve">MyMedicare registration is </w:t>
      </w:r>
      <w:r w:rsidR="00174461">
        <w:rPr>
          <w:rFonts w:ascii="Aptos" w:hAnsi="Aptos"/>
          <w:szCs w:val="20"/>
        </w:rPr>
        <w:t xml:space="preserve">communicated to patients as voluntary. </w:t>
      </w:r>
    </w:p>
    <w:p w14:paraId="0CB55B67" w14:textId="77777777" w:rsidR="00544040" w:rsidRPr="00817BE2" w:rsidRDefault="00544040" w:rsidP="00B00E1C">
      <w:pPr>
        <w:pStyle w:val="ListParagraph"/>
        <w:spacing w:after="120" w:line="240" w:lineRule="auto"/>
        <w:contextualSpacing w:val="0"/>
        <w:jc w:val="both"/>
        <w:rPr>
          <w:rFonts w:ascii="Aptos" w:hAnsi="Aptos"/>
          <w:sz w:val="4"/>
          <w:szCs w:val="4"/>
        </w:rPr>
      </w:pPr>
    </w:p>
    <w:p w14:paraId="64655379" w14:textId="52C5771F" w:rsidR="001B3CDA" w:rsidRDefault="001B3CDA" w:rsidP="00212181">
      <w:pPr>
        <w:pStyle w:val="Heading3"/>
        <w:spacing w:before="0" w:after="120"/>
      </w:pPr>
      <w:r>
        <w:t xml:space="preserve">MyMedicare </w:t>
      </w:r>
      <w:r w:rsidR="009F2B7D">
        <w:t xml:space="preserve">Patient </w:t>
      </w:r>
      <w:r>
        <w:t xml:space="preserve">Registration </w:t>
      </w:r>
    </w:p>
    <w:p w14:paraId="7870D155" w14:textId="2E7D5E46" w:rsidR="00656882" w:rsidRPr="00864795" w:rsidRDefault="00656882" w:rsidP="00212181">
      <w:pPr>
        <w:spacing w:after="120" w:line="240" w:lineRule="auto"/>
        <w:jc w:val="both"/>
        <w:rPr>
          <w:rFonts w:ascii="Aptos" w:hAnsi="Aptos"/>
          <w:szCs w:val="20"/>
        </w:rPr>
      </w:pPr>
      <w:r>
        <w:rPr>
          <w:rFonts w:ascii="Aptos" w:hAnsi="Aptos"/>
          <w:b/>
          <w:bCs/>
          <w:color w:val="21517C" w:themeColor="accent2" w:themeShade="BF"/>
          <w:szCs w:val="20"/>
        </w:rPr>
        <w:t>There are two methods for a patient to register for MyMedicare with your general practice.</w:t>
      </w:r>
    </w:p>
    <w:p w14:paraId="18A52A89" w14:textId="7285214E" w:rsidR="00864795" w:rsidRPr="00337A91" w:rsidRDefault="00961B53" w:rsidP="001D75A9">
      <w:pPr>
        <w:numPr>
          <w:ilvl w:val="0"/>
          <w:numId w:val="35"/>
        </w:numPr>
        <w:spacing w:after="120" w:line="240" w:lineRule="auto"/>
        <w:ind w:left="709" w:hanging="425"/>
        <w:jc w:val="both"/>
        <w:rPr>
          <w:rFonts w:ascii="Aptos" w:hAnsi="Aptos"/>
          <w:szCs w:val="20"/>
        </w:rPr>
      </w:pPr>
      <w:r w:rsidRPr="00864795">
        <w:rPr>
          <w:rFonts w:ascii="Aptos" w:hAnsi="Aptos"/>
          <w:b/>
          <w:bCs/>
          <w:szCs w:val="20"/>
        </w:rPr>
        <w:t>Self</w:t>
      </w:r>
      <w:r>
        <w:rPr>
          <w:rFonts w:ascii="Aptos" w:hAnsi="Aptos"/>
          <w:b/>
          <w:bCs/>
          <w:szCs w:val="20"/>
        </w:rPr>
        <w:t>-R</w:t>
      </w:r>
      <w:r w:rsidRPr="00864795">
        <w:rPr>
          <w:rFonts w:ascii="Aptos" w:hAnsi="Aptos"/>
          <w:b/>
          <w:bCs/>
          <w:szCs w:val="20"/>
        </w:rPr>
        <w:t>egistration</w:t>
      </w:r>
      <w:r w:rsidR="00864795" w:rsidRPr="00864795">
        <w:rPr>
          <w:rFonts w:ascii="Aptos" w:hAnsi="Aptos"/>
          <w:szCs w:val="20"/>
        </w:rPr>
        <w:t xml:space="preserve"> via the MyGov app (</w:t>
      </w:r>
      <w:r w:rsidR="00EB3030" w:rsidRPr="00170D33">
        <w:rPr>
          <w:rFonts w:ascii="Aptos" w:hAnsi="Aptos"/>
          <w:szCs w:val="20"/>
        </w:rPr>
        <w:t>*</w:t>
      </w:r>
      <w:r w:rsidR="00864795" w:rsidRPr="00864795">
        <w:rPr>
          <w:rFonts w:ascii="Aptos" w:hAnsi="Aptos"/>
          <w:szCs w:val="20"/>
        </w:rPr>
        <w:t>preferred</w:t>
      </w:r>
      <w:r w:rsidR="00EB3030" w:rsidRPr="00170D33">
        <w:rPr>
          <w:rFonts w:ascii="Aptos" w:hAnsi="Aptos"/>
          <w:szCs w:val="20"/>
        </w:rPr>
        <w:t>*</w:t>
      </w:r>
      <w:r w:rsidR="00864795" w:rsidRPr="00864795">
        <w:rPr>
          <w:rFonts w:ascii="Aptos" w:hAnsi="Aptos"/>
          <w:szCs w:val="20"/>
        </w:rPr>
        <w:t>).</w:t>
      </w:r>
      <w:r w:rsidR="0043570B">
        <w:rPr>
          <w:rFonts w:ascii="Aptos" w:hAnsi="Aptos"/>
          <w:szCs w:val="20"/>
        </w:rPr>
        <w:t xml:space="preserve"> </w:t>
      </w:r>
    </w:p>
    <w:p w14:paraId="07A88863" w14:textId="772739AF" w:rsidR="00864795" w:rsidRPr="00FA3D94" w:rsidRDefault="00864795" w:rsidP="001D75A9">
      <w:pPr>
        <w:numPr>
          <w:ilvl w:val="0"/>
          <w:numId w:val="35"/>
        </w:numPr>
        <w:spacing w:after="120" w:line="240" w:lineRule="auto"/>
        <w:ind w:left="709" w:hanging="425"/>
        <w:jc w:val="both"/>
        <w:rPr>
          <w:rFonts w:ascii="Aptos" w:hAnsi="Aptos"/>
          <w:szCs w:val="20"/>
        </w:rPr>
      </w:pPr>
      <w:r w:rsidRPr="00864795">
        <w:rPr>
          <w:rFonts w:ascii="Aptos" w:hAnsi="Aptos"/>
          <w:b/>
          <w:bCs/>
          <w:szCs w:val="20"/>
        </w:rPr>
        <w:t xml:space="preserve">Paper </w:t>
      </w:r>
      <w:r w:rsidR="007A1CC8">
        <w:rPr>
          <w:rFonts w:ascii="Aptos" w:hAnsi="Aptos"/>
          <w:b/>
          <w:bCs/>
          <w:szCs w:val="20"/>
        </w:rPr>
        <w:t>MyMedicare Registration</w:t>
      </w:r>
      <w:r w:rsidRPr="00864795">
        <w:rPr>
          <w:rFonts w:ascii="Aptos" w:hAnsi="Aptos"/>
          <w:b/>
          <w:bCs/>
          <w:szCs w:val="20"/>
        </w:rPr>
        <w:t xml:space="preserve"> form</w:t>
      </w:r>
      <w:r w:rsidRPr="00864795">
        <w:rPr>
          <w:rFonts w:ascii="Aptos" w:hAnsi="Aptos"/>
          <w:szCs w:val="20"/>
        </w:rPr>
        <w:t xml:space="preserve"> </w:t>
      </w:r>
      <w:r w:rsidR="00BA6D18">
        <w:rPr>
          <w:rFonts w:ascii="Aptos" w:hAnsi="Aptos"/>
          <w:szCs w:val="20"/>
        </w:rPr>
        <w:t>–</w:t>
      </w:r>
      <w:r w:rsidR="007A1CC8">
        <w:rPr>
          <w:rFonts w:ascii="Aptos" w:hAnsi="Aptos"/>
          <w:szCs w:val="20"/>
        </w:rPr>
        <w:t xml:space="preserve"> </w:t>
      </w:r>
      <w:r w:rsidR="00BA6D18">
        <w:rPr>
          <w:rFonts w:ascii="Aptos" w:hAnsi="Aptos"/>
          <w:szCs w:val="20"/>
        </w:rPr>
        <w:t xml:space="preserve">access the form </w:t>
      </w:r>
      <w:hyperlink r:id="rId16" w:tooltip="https://www.health.gov.au/resources/publications/mymedicare-registration-form?language=en" w:history="1">
        <w:r w:rsidR="00BA6D18" w:rsidRPr="00BA6D18">
          <w:rPr>
            <w:rStyle w:val="Hyperlink"/>
            <w:rFonts w:ascii="Aptos" w:hAnsi="Aptos"/>
            <w:szCs w:val="20"/>
          </w:rPr>
          <w:t>here</w:t>
        </w:r>
      </w:hyperlink>
      <w:r w:rsidR="00BA6D18">
        <w:rPr>
          <w:rFonts w:ascii="Aptos" w:hAnsi="Aptos"/>
          <w:szCs w:val="20"/>
        </w:rPr>
        <w:t xml:space="preserve"> </w:t>
      </w:r>
      <w:r w:rsidR="008B7CC4">
        <w:rPr>
          <w:rFonts w:ascii="Aptos" w:hAnsi="Aptos"/>
          <w:szCs w:val="20"/>
        </w:rPr>
        <w:t xml:space="preserve"> Ensure that the form is </w:t>
      </w:r>
      <w:r w:rsidRPr="00864795">
        <w:rPr>
          <w:rFonts w:ascii="Aptos" w:hAnsi="Aptos"/>
          <w:szCs w:val="20"/>
        </w:rPr>
        <w:t xml:space="preserve">signed by the patient and </w:t>
      </w:r>
      <w:r w:rsidR="00BE1A80">
        <w:rPr>
          <w:rFonts w:ascii="Aptos" w:hAnsi="Aptos"/>
          <w:szCs w:val="20"/>
        </w:rPr>
        <w:t xml:space="preserve">the required details are </w:t>
      </w:r>
      <w:r w:rsidRPr="00864795">
        <w:rPr>
          <w:rFonts w:ascii="Aptos" w:hAnsi="Aptos"/>
          <w:szCs w:val="20"/>
        </w:rPr>
        <w:t xml:space="preserve">entered into </w:t>
      </w:r>
      <w:r w:rsidR="00EE32FC">
        <w:rPr>
          <w:rFonts w:ascii="Aptos" w:hAnsi="Aptos"/>
          <w:szCs w:val="20"/>
        </w:rPr>
        <w:t>PRODA</w:t>
      </w:r>
      <w:r w:rsidRPr="00864795">
        <w:rPr>
          <w:rFonts w:ascii="Aptos" w:hAnsi="Aptos"/>
          <w:szCs w:val="20"/>
        </w:rPr>
        <w:t xml:space="preserve"> by the practice within 7</w:t>
      </w:r>
      <w:r w:rsidR="001D13C8">
        <w:rPr>
          <w:rFonts w:ascii="Aptos" w:hAnsi="Aptos"/>
          <w:szCs w:val="20"/>
        </w:rPr>
        <w:t xml:space="preserve"> </w:t>
      </w:r>
      <w:r w:rsidRPr="00864795">
        <w:rPr>
          <w:rFonts w:ascii="Aptos" w:hAnsi="Aptos"/>
          <w:szCs w:val="20"/>
        </w:rPr>
        <w:t>days of patient signing.</w:t>
      </w:r>
      <w:r w:rsidR="00BA6D18">
        <w:rPr>
          <w:rFonts w:ascii="Aptos" w:hAnsi="Aptos"/>
          <w:szCs w:val="20"/>
        </w:rPr>
        <w:t xml:space="preserve"> </w:t>
      </w:r>
    </w:p>
    <w:p w14:paraId="4CA05242" w14:textId="77777777" w:rsidR="00393BB4" w:rsidRPr="00393BB4" w:rsidRDefault="00393BB4" w:rsidP="00393BB4">
      <w:pPr>
        <w:spacing w:before="240" w:after="120" w:line="240" w:lineRule="auto"/>
        <w:ind w:firstLine="426"/>
        <w:jc w:val="center"/>
        <w:rPr>
          <w:rStyle w:val="SubtleEmphasis"/>
          <w:color w:val="70A8D9" w:themeColor="accent2" w:themeTint="99"/>
        </w:rPr>
      </w:pPr>
      <w:r w:rsidRPr="00447E51">
        <w:rPr>
          <w:rStyle w:val="SubtleEmphasis"/>
          <w:color w:val="05A285" w:themeColor="accent3"/>
        </w:rPr>
        <w:t xml:space="preserve">✅ </w:t>
      </w:r>
      <w:r w:rsidRPr="008E4581">
        <w:rPr>
          <w:rStyle w:val="SubtleEmphasis"/>
          <w:color w:val="293272" w:themeColor="accent1"/>
        </w:rPr>
        <w:t>What Practice Staff Can Do</w:t>
      </w:r>
    </w:p>
    <w:p w14:paraId="030DD29D" w14:textId="56CA602A" w:rsidR="007A1CC8" w:rsidRPr="007A1CC8" w:rsidRDefault="009E1BD0" w:rsidP="00B00E1C">
      <w:pPr>
        <w:pStyle w:val="ListParagraph"/>
        <w:numPr>
          <w:ilvl w:val="0"/>
          <w:numId w:val="32"/>
        </w:numPr>
        <w:spacing w:after="120" w:line="240" w:lineRule="auto"/>
        <w:contextualSpacing w:val="0"/>
        <w:jc w:val="both"/>
        <w:rPr>
          <w:rFonts w:ascii="Aptos" w:hAnsi="Aptos"/>
          <w:szCs w:val="20"/>
        </w:rPr>
      </w:pPr>
      <w:r w:rsidRPr="007A1CC8">
        <w:rPr>
          <w:rFonts w:ascii="Aptos" w:hAnsi="Aptos"/>
          <w:b/>
          <w:bCs/>
          <w:szCs w:val="20"/>
        </w:rPr>
        <w:t>Self</w:t>
      </w:r>
      <w:r>
        <w:rPr>
          <w:rFonts w:ascii="Aptos" w:hAnsi="Aptos"/>
          <w:b/>
          <w:bCs/>
          <w:szCs w:val="20"/>
        </w:rPr>
        <w:t>-</w:t>
      </w:r>
      <w:r w:rsidRPr="007A1CC8">
        <w:rPr>
          <w:rFonts w:ascii="Aptos" w:hAnsi="Aptos"/>
          <w:b/>
          <w:bCs/>
          <w:szCs w:val="20"/>
        </w:rPr>
        <w:t>Registration</w:t>
      </w:r>
    </w:p>
    <w:p w14:paraId="26924E20" w14:textId="27346875" w:rsidR="007A510D" w:rsidRPr="008649E9" w:rsidRDefault="007A510D" w:rsidP="00B00E1C">
      <w:pPr>
        <w:pStyle w:val="ListParagraph"/>
        <w:numPr>
          <w:ilvl w:val="0"/>
          <w:numId w:val="30"/>
        </w:numPr>
        <w:spacing w:after="120" w:line="240" w:lineRule="auto"/>
        <w:contextualSpacing w:val="0"/>
        <w:jc w:val="both"/>
        <w:rPr>
          <w:rFonts w:ascii="Aptos" w:hAnsi="Aptos"/>
          <w:szCs w:val="20"/>
        </w:rPr>
      </w:pPr>
      <w:r w:rsidRPr="008649E9">
        <w:rPr>
          <w:rFonts w:ascii="Aptos" w:hAnsi="Aptos"/>
          <w:b/>
          <w:bCs/>
          <w:szCs w:val="20"/>
        </w:rPr>
        <w:t xml:space="preserve">Encourage patients to register themselves </w:t>
      </w:r>
      <w:r w:rsidRPr="008649E9">
        <w:rPr>
          <w:rFonts w:ascii="Aptos" w:hAnsi="Aptos"/>
          <w:szCs w:val="20"/>
        </w:rPr>
        <w:t>using their</w:t>
      </w:r>
      <w:r w:rsidRPr="008649E9">
        <w:rPr>
          <w:rFonts w:ascii="Aptos" w:hAnsi="Aptos"/>
          <w:b/>
          <w:bCs/>
          <w:szCs w:val="20"/>
        </w:rPr>
        <w:t xml:space="preserve"> </w:t>
      </w:r>
      <w:hyperlink r:id="rId17" w:history="1">
        <w:r w:rsidRPr="008649E9">
          <w:rPr>
            <w:rStyle w:val="Hyperlink"/>
            <w:rFonts w:ascii="Aptos" w:hAnsi="Aptos"/>
            <w:szCs w:val="20"/>
          </w:rPr>
          <w:t>MyGov app</w:t>
        </w:r>
      </w:hyperlink>
      <w:r w:rsidRPr="008649E9">
        <w:rPr>
          <w:rFonts w:ascii="Aptos" w:hAnsi="Aptos"/>
          <w:szCs w:val="20"/>
        </w:rPr>
        <w:t xml:space="preserve"> – it’s the easiest and most efficient method. Patients must have received care from the practice recently </w:t>
      </w:r>
      <w:r w:rsidR="008F7837">
        <w:rPr>
          <w:rFonts w:ascii="Aptos" w:hAnsi="Aptos"/>
          <w:szCs w:val="20"/>
        </w:rPr>
        <w:t xml:space="preserve">(2 or more appointments in the last 24 months except where exemptions to this rule apply) </w:t>
      </w:r>
      <w:r w:rsidRPr="008649E9">
        <w:rPr>
          <w:rFonts w:ascii="Aptos" w:hAnsi="Aptos"/>
          <w:szCs w:val="20"/>
        </w:rPr>
        <w:t xml:space="preserve">to be eligible to register for MyMedicare. If a patient does not have an existing myGov </w:t>
      </w:r>
      <w:proofErr w:type="gramStart"/>
      <w:r w:rsidRPr="008649E9">
        <w:rPr>
          <w:rFonts w:ascii="Aptos" w:hAnsi="Aptos"/>
          <w:szCs w:val="20"/>
        </w:rPr>
        <w:t>account</w:t>
      </w:r>
      <w:proofErr w:type="gramEnd"/>
      <w:r w:rsidRPr="008649E9">
        <w:rPr>
          <w:rFonts w:ascii="Aptos" w:hAnsi="Aptos"/>
          <w:szCs w:val="20"/>
        </w:rPr>
        <w:t xml:space="preserve"> they can </w:t>
      </w:r>
      <w:hyperlink r:id="rId18" w:history="1">
        <w:r w:rsidRPr="008649E9">
          <w:rPr>
            <w:rStyle w:val="Hyperlink"/>
            <w:rFonts w:ascii="Aptos" w:hAnsi="Aptos"/>
            <w:szCs w:val="20"/>
          </w:rPr>
          <w:t>create a MyGov account</w:t>
        </w:r>
      </w:hyperlink>
      <w:r w:rsidRPr="008649E9">
        <w:rPr>
          <w:rFonts w:ascii="Aptos" w:hAnsi="Aptos"/>
          <w:szCs w:val="20"/>
        </w:rPr>
        <w:t xml:space="preserve">. Patients can follow these instructions to </w:t>
      </w:r>
      <w:hyperlink r:id="rId19" w:history="1">
        <w:r w:rsidRPr="008649E9">
          <w:rPr>
            <w:rStyle w:val="Hyperlink"/>
            <w:rFonts w:ascii="Aptos" w:hAnsi="Aptos"/>
            <w:szCs w:val="20"/>
          </w:rPr>
          <w:t>link Medicare with their MyGov account</w:t>
        </w:r>
      </w:hyperlink>
      <w:r w:rsidRPr="008649E9">
        <w:rPr>
          <w:rFonts w:ascii="Aptos" w:hAnsi="Aptos"/>
          <w:szCs w:val="20"/>
        </w:rPr>
        <w:t>.</w:t>
      </w:r>
    </w:p>
    <w:p w14:paraId="0C640273" w14:textId="667FFB70" w:rsidR="007A510D" w:rsidRPr="00F762A0" w:rsidRDefault="007A510D" w:rsidP="00B00E1C">
      <w:pPr>
        <w:pStyle w:val="ListParagraph"/>
        <w:spacing w:after="120" w:line="240" w:lineRule="auto"/>
        <w:contextualSpacing w:val="0"/>
        <w:jc w:val="both"/>
        <w:rPr>
          <w:rFonts w:ascii="Aptos" w:hAnsi="Aptos"/>
          <w:szCs w:val="20"/>
        </w:rPr>
      </w:pPr>
      <w:r w:rsidRPr="00FF50D3">
        <w:rPr>
          <w:rFonts w:ascii="Aptos" w:hAnsi="Aptos"/>
          <w:szCs w:val="20"/>
        </w:rPr>
        <w:t xml:space="preserve">The following basic steps are for </w:t>
      </w:r>
      <w:r w:rsidRPr="00FF50D3">
        <w:rPr>
          <w:rFonts w:ascii="Aptos" w:hAnsi="Aptos"/>
          <w:i/>
          <w:iCs/>
          <w:szCs w:val="20"/>
        </w:rPr>
        <w:t>patients with an existing MyGov app, that is linked with their Medicare account</w:t>
      </w:r>
      <w:r w:rsidR="00F762A0">
        <w:rPr>
          <w:rFonts w:ascii="Aptos" w:hAnsi="Aptos"/>
          <w:szCs w:val="20"/>
        </w:rPr>
        <w:t>:</w:t>
      </w:r>
    </w:p>
    <w:p w14:paraId="73BEB8E9" w14:textId="77777777" w:rsidR="007A510D" w:rsidRDefault="007A510D" w:rsidP="00513041">
      <w:pPr>
        <w:pStyle w:val="ListParagraph"/>
        <w:numPr>
          <w:ilvl w:val="1"/>
          <w:numId w:val="30"/>
        </w:numPr>
        <w:spacing w:after="120" w:line="240" w:lineRule="auto"/>
        <w:ind w:left="1434" w:hanging="357"/>
        <w:jc w:val="both"/>
        <w:rPr>
          <w:rFonts w:ascii="Aptos" w:hAnsi="Aptos"/>
          <w:szCs w:val="20"/>
        </w:rPr>
      </w:pPr>
      <w:r w:rsidRPr="00042D18">
        <w:rPr>
          <w:rFonts w:ascii="Aptos" w:hAnsi="Aptos"/>
          <w:b/>
          <w:bCs/>
          <w:szCs w:val="20"/>
        </w:rPr>
        <w:t>Step 1</w:t>
      </w:r>
      <w:r>
        <w:rPr>
          <w:rFonts w:ascii="Aptos" w:hAnsi="Aptos"/>
          <w:szCs w:val="20"/>
        </w:rPr>
        <w:t xml:space="preserve"> – patient logs into their MyGov app on their mobile device</w:t>
      </w:r>
    </w:p>
    <w:p w14:paraId="76C8B941" w14:textId="77777777" w:rsidR="007A510D" w:rsidRDefault="007A510D" w:rsidP="00513041">
      <w:pPr>
        <w:pStyle w:val="ListParagraph"/>
        <w:numPr>
          <w:ilvl w:val="1"/>
          <w:numId w:val="30"/>
        </w:numPr>
        <w:spacing w:after="120" w:line="240" w:lineRule="auto"/>
        <w:ind w:left="1434" w:hanging="357"/>
        <w:jc w:val="both"/>
        <w:rPr>
          <w:rFonts w:ascii="Aptos" w:hAnsi="Aptos"/>
          <w:szCs w:val="20"/>
        </w:rPr>
      </w:pPr>
      <w:r w:rsidRPr="00042D18">
        <w:rPr>
          <w:rFonts w:ascii="Aptos" w:hAnsi="Aptos"/>
          <w:b/>
          <w:bCs/>
          <w:szCs w:val="20"/>
        </w:rPr>
        <w:t>Step 2</w:t>
      </w:r>
      <w:r>
        <w:rPr>
          <w:rFonts w:ascii="Aptos" w:hAnsi="Aptos"/>
          <w:szCs w:val="20"/>
        </w:rPr>
        <w:t xml:space="preserve"> - click ‘Services’ in the bottom right corner</w:t>
      </w:r>
    </w:p>
    <w:p w14:paraId="0D77E123" w14:textId="77777777" w:rsidR="007A510D" w:rsidRDefault="007A510D" w:rsidP="00513041">
      <w:pPr>
        <w:pStyle w:val="ListParagraph"/>
        <w:numPr>
          <w:ilvl w:val="1"/>
          <w:numId w:val="30"/>
        </w:numPr>
        <w:spacing w:after="120" w:line="240" w:lineRule="auto"/>
        <w:ind w:left="1434" w:hanging="357"/>
        <w:jc w:val="both"/>
        <w:rPr>
          <w:rFonts w:ascii="Aptos" w:hAnsi="Aptos"/>
          <w:szCs w:val="20"/>
        </w:rPr>
      </w:pPr>
      <w:r w:rsidRPr="00042D18">
        <w:rPr>
          <w:rFonts w:ascii="Aptos" w:hAnsi="Aptos"/>
          <w:b/>
          <w:bCs/>
          <w:szCs w:val="20"/>
        </w:rPr>
        <w:t>Step 3</w:t>
      </w:r>
      <w:r>
        <w:rPr>
          <w:rFonts w:ascii="Aptos" w:hAnsi="Aptos"/>
          <w:szCs w:val="20"/>
        </w:rPr>
        <w:t xml:space="preserve"> - click ‘Medicare’</w:t>
      </w:r>
    </w:p>
    <w:p w14:paraId="4B04AC31" w14:textId="77777777" w:rsidR="007A510D" w:rsidRDefault="007A510D" w:rsidP="00513041">
      <w:pPr>
        <w:pStyle w:val="ListParagraph"/>
        <w:numPr>
          <w:ilvl w:val="1"/>
          <w:numId w:val="30"/>
        </w:numPr>
        <w:spacing w:after="120" w:line="240" w:lineRule="auto"/>
        <w:ind w:left="1434" w:hanging="357"/>
        <w:jc w:val="both"/>
        <w:rPr>
          <w:rFonts w:ascii="Aptos" w:hAnsi="Aptos"/>
          <w:szCs w:val="20"/>
        </w:rPr>
      </w:pPr>
      <w:r w:rsidRPr="00042D18">
        <w:rPr>
          <w:rFonts w:ascii="Aptos" w:hAnsi="Aptos"/>
          <w:b/>
          <w:bCs/>
          <w:szCs w:val="20"/>
        </w:rPr>
        <w:t>Step 4</w:t>
      </w:r>
      <w:r>
        <w:rPr>
          <w:rFonts w:ascii="Aptos" w:hAnsi="Aptos"/>
          <w:szCs w:val="20"/>
        </w:rPr>
        <w:t xml:space="preserve"> – click ‘MyMedicare’ </w:t>
      </w:r>
    </w:p>
    <w:p w14:paraId="0D4EC1A6" w14:textId="77777777" w:rsidR="007A510D" w:rsidRDefault="007A510D" w:rsidP="00513041">
      <w:pPr>
        <w:pStyle w:val="ListParagraph"/>
        <w:numPr>
          <w:ilvl w:val="1"/>
          <w:numId w:val="30"/>
        </w:numPr>
        <w:spacing w:after="120" w:line="240" w:lineRule="auto"/>
        <w:ind w:left="1434" w:hanging="357"/>
        <w:jc w:val="both"/>
        <w:rPr>
          <w:rFonts w:ascii="Aptos" w:hAnsi="Aptos"/>
          <w:szCs w:val="20"/>
        </w:rPr>
      </w:pPr>
      <w:r w:rsidRPr="00042D18">
        <w:rPr>
          <w:rFonts w:ascii="Aptos" w:hAnsi="Aptos"/>
          <w:b/>
          <w:bCs/>
          <w:szCs w:val="20"/>
        </w:rPr>
        <w:t>Step 5</w:t>
      </w:r>
      <w:r>
        <w:rPr>
          <w:rFonts w:ascii="Aptos" w:hAnsi="Aptos"/>
          <w:szCs w:val="20"/>
        </w:rPr>
        <w:t xml:space="preserve"> – select ‘MyMedicare’</w:t>
      </w:r>
    </w:p>
    <w:p w14:paraId="2167BBB9" w14:textId="77777777" w:rsidR="007A510D" w:rsidRDefault="007A510D" w:rsidP="00513041">
      <w:pPr>
        <w:pStyle w:val="ListParagraph"/>
        <w:numPr>
          <w:ilvl w:val="1"/>
          <w:numId w:val="30"/>
        </w:numPr>
        <w:spacing w:after="120" w:line="240" w:lineRule="auto"/>
        <w:ind w:left="1434" w:hanging="357"/>
        <w:jc w:val="both"/>
        <w:rPr>
          <w:rFonts w:ascii="Aptos" w:hAnsi="Aptos"/>
          <w:szCs w:val="20"/>
        </w:rPr>
      </w:pPr>
      <w:r w:rsidRPr="00042D18">
        <w:rPr>
          <w:rFonts w:ascii="Aptos" w:hAnsi="Aptos"/>
          <w:b/>
          <w:bCs/>
          <w:szCs w:val="20"/>
        </w:rPr>
        <w:t>Step 6</w:t>
      </w:r>
      <w:r>
        <w:rPr>
          <w:rFonts w:ascii="Aptos" w:hAnsi="Aptos"/>
          <w:szCs w:val="20"/>
        </w:rPr>
        <w:t xml:space="preserve"> – choose the person you are registering for in the ‘select the registration you’d like to manage’ field, and click ‘Register for MyMedicare’ </w:t>
      </w:r>
    </w:p>
    <w:p w14:paraId="23996773" w14:textId="77777777" w:rsidR="007A510D" w:rsidRDefault="007A510D" w:rsidP="00513041">
      <w:pPr>
        <w:pStyle w:val="ListParagraph"/>
        <w:numPr>
          <w:ilvl w:val="1"/>
          <w:numId w:val="30"/>
        </w:numPr>
        <w:spacing w:after="120" w:line="240" w:lineRule="auto"/>
        <w:ind w:left="1434" w:hanging="357"/>
        <w:jc w:val="both"/>
        <w:rPr>
          <w:rFonts w:ascii="Aptos" w:hAnsi="Aptos"/>
          <w:szCs w:val="20"/>
        </w:rPr>
      </w:pPr>
      <w:r w:rsidRPr="00042D18">
        <w:rPr>
          <w:rFonts w:ascii="Aptos" w:hAnsi="Aptos"/>
          <w:b/>
          <w:bCs/>
          <w:szCs w:val="20"/>
        </w:rPr>
        <w:t>Step 7</w:t>
      </w:r>
      <w:r>
        <w:rPr>
          <w:rFonts w:ascii="Aptos" w:hAnsi="Aptos"/>
          <w:szCs w:val="20"/>
        </w:rPr>
        <w:t xml:space="preserve"> – read the ‘register for MyMedicare’ information, and click ‘start’</w:t>
      </w:r>
    </w:p>
    <w:p w14:paraId="422C13ED" w14:textId="2E61B249" w:rsidR="00817BE2" w:rsidRDefault="007A510D" w:rsidP="00513041">
      <w:pPr>
        <w:pStyle w:val="ListParagraph"/>
        <w:numPr>
          <w:ilvl w:val="1"/>
          <w:numId w:val="30"/>
        </w:numPr>
        <w:spacing w:after="120" w:line="240" w:lineRule="auto"/>
        <w:ind w:left="1434" w:hanging="357"/>
        <w:jc w:val="both"/>
        <w:rPr>
          <w:rFonts w:ascii="Aptos" w:hAnsi="Aptos"/>
          <w:szCs w:val="20"/>
        </w:rPr>
      </w:pPr>
      <w:r w:rsidRPr="00042D18">
        <w:rPr>
          <w:rFonts w:ascii="Aptos" w:hAnsi="Aptos"/>
          <w:b/>
          <w:bCs/>
          <w:szCs w:val="20"/>
        </w:rPr>
        <w:t>Step 8</w:t>
      </w:r>
      <w:r>
        <w:rPr>
          <w:rFonts w:ascii="Aptos" w:hAnsi="Aptos"/>
          <w:szCs w:val="20"/>
        </w:rPr>
        <w:t xml:space="preserve"> – Search for practice by name, suburb and postcode, and select your practice from the list of practices (note - your practice will only appear in the search list if they are registered for MyMedicare).</w:t>
      </w:r>
    </w:p>
    <w:p w14:paraId="4679C2D6" w14:textId="77777777" w:rsidR="00817BE2" w:rsidRPr="00817BE2" w:rsidRDefault="00817BE2" w:rsidP="00513041">
      <w:pPr>
        <w:spacing w:after="120" w:line="240" w:lineRule="auto"/>
        <w:jc w:val="both"/>
        <w:rPr>
          <w:rFonts w:ascii="Aptos" w:hAnsi="Aptos"/>
          <w:szCs w:val="20"/>
        </w:rPr>
      </w:pPr>
    </w:p>
    <w:p w14:paraId="2F07D066" w14:textId="77777777" w:rsidR="00513041" w:rsidRDefault="00513041" w:rsidP="00513041">
      <w:pPr>
        <w:pStyle w:val="ListParagraph"/>
        <w:spacing w:after="120" w:line="240" w:lineRule="auto"/>
        <w:contextualSpacing w:val="0"/>
        <w:jc w:val="both"/>
        <w:rPr>
          <w:rFonts w:ascii="Aptos" w:hAnsi="Aptos"/>
          <w:b/>
          <w:bCs/>
          <w:szCs w:val="20"/>
        </w:rPr>
      </w:pPr>
    </w:p>
    <w:p w14:paraId="666F7784" w14:textId="77777777" w:rsidR="00E83459" w:rsidRDefault="00E83459" w:rsidP="00513041">
      <w:pPr>
        <w:pStyle w:val="ListParagraph"/>
        <w:spacing w:after="120" w:line="240" w:lineRule="auto"/>
        <w:contextualSpacing w:val="0"/>
        <w:jc w:val="both"/>
        <w:rPr>
          <w:rFonts w:ascii="Aptos" w:hAnsi="Aptos"/>
          <w:b/>
          <w:bCs/>
          <w:szCs w:val="20"/>
        </w:rPr>
      </w:pPr>
    </w:p>
    <w:p w14:paraId="523C4789" w14:textId="77777777" w:rsidR="00E83459" w:rsidRDefault="00E83459" w:rsidP="00513041">
      <w:pPr>
        <w:pStyle w:val="ListParagraph"/>
        <w:spacing w:after="120" w:line="240" w:lineRule="auto"/>
        <w:contextualSpacing w:val="0"/>
        <w:jc w:val="both"/>
        <w:rPr>
          <w:rFonts w:ascii="Aptos" w:hAnsi="Aptos"/>
          <w:b/>
          <w:bCs/>
          <w:szCs w:val="20"/>
        </w:rPr>
      </w:pPr>
    </w:p>
    <w:p w14:paraId="748338B0" w14:textId="77777777" w:rsidR="00E83459" w:rsidRDefault="00E83459" w:rsidP="00513041">
      <w:pPr>
        <w:pStyle w:val="ListParagraph"/>
        <w:spacing w:after="120" w:line="240" w:lineRule="auto"/>
        <w:contextualSpacing w:val="0"/>
        <w:jc w:val="both"/>
        <w:rPr>
          <w:rFonts w:ascii="Aptos" w:hAnsi="Aptos"/>
          <w:b/>
          <w:bCs/>
          <w:szCs w:val="20"/>
        </w:rPr>
      </w:pPr>
    </w:p>
    <w:p w14:paraId="719DAA3D" w14:textId="77777777" w:rsidR="00E83459" w:rsidRDefault="00E83459" w:rsidP="00513041">
      <w:pPr>
        <w:pStyle w:val="ListParagraph"/>
        <w:spacing w:after="120" w:line="240" w:lineRule="auto"/>
        <w:contextualSpacing w:val="0"/>
        <w:jc w:val="both"/>
        <w:rPr>
          <w:rFonts w:ascii="Aptos" w:hAnsi="Aptos"/>
          <w:b/>
          <w:bCs/>
          <w:szCs w:val="20"/>
        </w:rPr>
      </w:pPr>
    </w:p>
    <w:p w14:paraId="5D7B3937" w14:textId="352D89AF" w:rsidR="007A1CC8" w:rsidRPr="002951CA" w:rsidRDefault="007A1CC8" w:rsidP="00B00E1C">
      <w:pPr>
        <w:pStyle w:val="ListParagraph"/>
        <w:numPr>
          <w:ilvl w:val="0"/>
          <w:numId w:val="32"/>
        </w:numPr>
        <w:spacing w:after="120" w:line="240" w:lineRule="auto"/>
        <w:contextualSpacing w:val="0"/>
        <w:jc w:val="both"/>
        <w:rPr>
          <w:rFonts w:ascii="Aptos" w:hAnsi="Aptos"/>
          <w:b/>
          <w:bCs/>
          <w:szCs w:val="20"/>
        </w:rPr>
      </w:pPr>
      <w:r w:rsidRPr="002951CA">
        <w:rPr>
          <w:rFonts w:ascii="Aptos" w:hAnsi="Aptos"/>
          <w:b/>
          <w:bCs/>
          <w:szCs w:val="20"/>
        </w:rPr>
        <w:t>Paper MyMedicare Registration Forms</w:t>
      </w:r>
    </w:p>
    <w:p w14:paraId="4F097C67" w14:textId="30451D40" w:rsidR="00D71F7C" w:rsidRDefault="007A510D" w:rsidP="00B00E1C">
      <w:pPr>
        <w:pStyle w:val="ListParagraph"/>
        <w:numPr>
          <w:ilvl w:val="0"/>
          <w:numId w:val="30"/>
        </w:numPr>
        <w:spacing w:after="120" w:line="240" w:lineRule="auto"/>
        <w:contextualSpacing w:val="0"/>
        <w:jc w:val="both"/>
        <w:rPr>
          <w:rFonts w:ascii="Aptos" w:hAnsi="Aptos"/>
          <w:szCs w:val="20"/>
        </w:rPr>
      </w:pPr>
      <w:r w:rsidRPr="00527320">
        <w:rPr>
          <w:rFonts w:ascii="Aptos" w:hAnsi="Aptos"/>
          <w:b/>
          <w:bCs/>
          <w:szCs w:val="20"/>
        </w:rPr>
        <w:t>Support patients</w:t>
      </w:r>
      <w:r w:rsidRPr="00527320">
        <w:rPr>
          <w:rFonts w:ascii="Aptos" w:hAnsi="Aptos"/>
          <w:szCs w:val="20"/>
        </w:rPr>
        <w:t xml:space="preserve"> who prefer paper forms</w:t>
      </w:r>
      <w:r w:rsidR="00F762A0">
        <w:rPr>
          <w:rFonts w:ascii="Aptos" w:hAnsi="Aptos"/>
          <w:szCs w:val="20"/>
        </w:rPr>
        <w:t>:</w:t>
      </w:r>
    </w:p>
    <w:p w14:paraId="1E118CDD" w14:textId="2E2EE4A2" w:rsidR="00D71F7C" w:rsidRDefault="00D71F7C" w:rsidP="00B00E1C">
      <w:pPr>
        <w:pStyle w:val="ListParagraph"/>
        <w:numPr>
          <w:ilvl w:val="1"/>
          <w:numId w:val="30"/>
        </w:numPr>
        <w:spacing w:after="120" w:line="240" w:lineRule="auto"/>
        <w:contextualSpacing w:val="0"/>
        <w:jc w:val="both"/>
        <w:rPr>
          <w:rFonts w:ascii="Aptos" w:hAnsi="Aptos"/>
          <w:szCs w:val="20"/>
        </w:rPr>
      </w:pPr>
      <w:r>
        <w:rPr>
          <w:rFonts w:ascii="Aptos" w:hAnsi="Aptos"/>
          <w:b/>
          <w:bCs/>
          <w:szCs w:val="20"/>
        </w:rPr>
        <w:t xml:space="preserve">Step 1 - </w:t>
      </w:r>
      <w:r w:rsidR="00570069">
        <w:rPr>
          <w:rFonts w:ascii="Aptos" w:hAnsi="Aptos"/>
          <w:szCs w:val="20"/>
        </w:rPr>
        <w:t>have the patient complete</w:t>
      </w:r>
      <w:r w:rsidR="0091135B">
        <w:rPr>
          <w:rFonts w:ascii="Aptos" w:hAnsi="Aptos"/>
          <w:szCs w:val="20"/>
        </w:rPr>
        <w:t xml:space="preserve"> and sign</w:t>
      </w:r>
      <w:r w:rsidR="004A3DE5">
        <w:rPr>
          <w:rFonts w:ascii="Aptos" w:hAnsi="Aptos"/>
          <w:szCs w:val="20"/>
        </w:rPr>
        <w:t xml:space="preserve"> the</w:t>
      </w:r>
      <w:r w:rsidR="00BC6218" w:rsidRPr="00BC6218">
        <w:t xml:space="preserve"> </w:t>
      </w:r>
      <w:hyperlink r:id="rId20" w:history="1">
        <w:r w:rsidR="00BC6218" w:rsidRPr="00BC6218">
          <w:rPr>
            <w:rStyle w:val="Hyperlink"/>
            <w:rFonts w:ascii="Aptos" w:hAnsi="Aptos"/>
            <w:szCs w:val="20"/>
          </w:rPr>
          <w:t>MyMedicare Registration Form | Australian Government Department of Health, Disability and Ageing</w:t>
        </w:r>
      </w:hyperlink>
      <w:r w:rsidR="007B14EE">
        <w:rPr>
          <w:rFonts w:ascii="Aptos" w:hAnsi="Aptos"/>
          <w:szCs w:val="20"/>
        </w:rPr>
        <w:t>, and provide it to your practice.</w:t>
      </w:r>
    </w:p>
    <w:p w14:paraId="0B1AFF7A" w14:textId="3EF27DE9" w:rsidR="00003DAA" w:rsidRDefault="00D71F7C" w:rsidP="00B00E1C">
      <w:pPr>
        <w:pStyle w:val="ListParagraph"/>
        <w:numPr>
          <w:ilvl w:val="1"/>
          <w:numId w:val="30"/>
        </w:numPr>
        <w:spacing w:after="120" w:line="240" w:lineRule="auto"/>
        <w:contextualSpacing w:val="0"/>
        <w:jc w:val="both"/>
        <w:rPr>
          <w:rFonts w:ascii="Aptos" w:hAnsi="Aptos"/>
          <w:szCs w:val="20"/>
        </w:rPr>
      </w:pPr>
      <w:r>
        <w:rPr>
          <w:rFonts w:ascii="Aptos" w:hAnsi="Aptos"/>
          <w:b/>
          <w:bCs/>
          <w:szCs w:val="20"/>
        </w:rPr>
        <w:t xml:space="preserve">Step 2 </w:t>
      </w:r>
      <w:r w:rsidR="00003DAA">
        <w:rPr>
          <w:rFonts w:ascii="Aptos" w:hAnsi="Aptos"/>
          <w:b/>
          <w:bCs/>
          <w:szCs w:val="20"/>
        </w:rPr>
        <w:t>–</w:t>
      </w:r>
      <w:r>
        <w:rPr>
          <w:rFonts w:ascii="Aptos" w:hAnsi="Aptos"/>
          <w:szCs w:val="20"/>
        </w:rPr>
        <w:t xml:space="preserve"> </w:t>
      </w:r>
      <w:r w:rsidR="00003DAA">
        <w:rPr>
          <w:rFonts w:ascii="Aptos" w:hAnsi="Aptos"/>
          <w:szCs w:val="20"/>
        </w:rPr>
        <w:t xml:space="preserve">Save a </w:t>
      </w:r>
      <w:r w:rsidR="007A510D" w:rsidRPr="00527320">
        <w:rPr>
          <w:rFonts w:ascii="Aptos" w:hAnsi="Aptos"/>
          <w:szCs w:val="20"/>
        </w:rPr>
        <w:t xml:space="preserve">signed copy </w:t>
      </w:r>
      <w:r w:rsidR="00EC2451">
        <w:rPr>
          <w:rFonts w:ascii="Aptos" w:hAnsi="Aptos"/>
          <w:szCs w:val="20"/>
        </w:rPr>
        <w:t>in the patient’s</w:t>
      </w:r>
      <w:r w:rsidR="007A510D" w:rsidRPr="00527320">
        <w:rPr>
          <w:rFonts w:ascii="Aptos" w:hAnsi="Aptos"/>
          <w:szCs w:val="20"/>
        </w:rPr>
        <w:t xml:space="preserve"> clinical record</w:t>
      </w:r>
      <w:r w:rsidR="00003DAA">
        <w:rPr>
          <w:rFonts w:ascii="Aptos" w:hAnsi="Aptos"/>
          <w:szCs w:val="20"/>
        </w:rPr>
        <w:t xml:space="preserve"> for audit purposes</w:t>
      </w:r>
      <w:r w:rsidR="007A510D" w:rsidRPr="00527320">
        <w:rPr>
          <w:rFonts w:ascii="Aptos" w:hAnsi="Aptos"/>
          <w:szCs w:val="20"/>
        </w:rPr>
        <w:t xml:space="preserve">. </w:t>
      </w:r>
    </w:p>
    <w:p w14:paraId="62CA1DC8" w14:textId="70535E3E" w:rsidR="007A510D" w:rsidRPr="00656882" w:rsidRDefault="00003DAA" w:rsidP="00B00E1C">
      <w:pPr>
        <w:pStyle w:val="ListParagraph"/>
        <w:numPr>
          <w:ilvl w:val="1"/>
          <w:numId w:val="30"/>
        </w:numPr>
        <w:spacing w:after="120" w:line="240" w:lineRule="auto"/>
        <w:contextualSpacing w:val="0"/>
        <w:jc w:val="both"/>
        <w:rPr>
          <w:rFonts w:ascii="Aptos" w:hAnsi="Aptos"/>
          <w:szCs w:val="20"/>
        </w:rPr>
      </w:pPr>
      <w:r w:rsidRPr="00003DAA">
        <w:rPr>
          <w:rFonts w:ascii="Aptos" w:hAnsi="Aptos"/>
          <w:b/>
          <w:bCs/>
          <w:szCs w:val="20"/>
        </w:rPr>
        <w:t>Step 3</w:t>
      </w:r>
      <w:r>
        <w:rPr>
          <w:rFonts w:ascii="Aptos" w:hAnsi="Aptos"/>
          <w:szCs w:val="20"/>
        </w:rPr>
        <w:t xml:space="preserve"> - </w:t>
      </w:r>
      <w:r w:rsidR="00EF6EC7">
        <w:rPr>
          <w:rFonts w:ascii="Aptos" w:hAnsi="Aptos"/>
          <w:szCs w:val="20"/>
        </w:rPr>
        <w:t xml:space="preserve">register the patient </w:t>
      </w:r>
      <w:r w:rsidR="00F762A0">
        <w:rPr>
          <w:rFonts w:ascii="Aptos" w:hAnsi="Aptos"/>
          <w:szCs w:val="20"/>
        </w:rPr>
        <w:t>through</w:t>
      </w:r>
      <w:r w:rsidR="00EF6EC7">
        <w:rPr>
          <w:rFonts w:ascii="Aptos" w:hAnsi="Aptos"/>
          <w:szCs w:val="20"/>
        </w:rPr>
        <w:t xml:space="preserve"> PRODA: </w:t>
      </w:r>
      <w:hyperlink r:id="rId21" w:history="1">
        <w:r w:rsidR="00EF6EC7" w:rsidRPr="00EF6EC7">
          <w:rPr>
            <w:rStyle w:val="Hyperlink"/>
            <w:rFonts w:ascii="Aptos" w:hAnsi="Aptos"/>
            <w:szCs w:val="20"/>
          </w:rPr>
          <w:t>MYMEDM02-Managing patient registrations</w:t>
        </w:r>
      </w:hyperlink>
    </w:p>
    <w:p w14:paraId="4570DFD8" w14:textId="77777777" w:rsidR="00813216" w:rsidRDefault="00813216" w:rsidP="00B00E1C">
      <w:pPr>
        <w:spacing w:after="120" w:line="240" w:lineRule="auto"/>
      </w:pPr>
    </w:p>
    <w:p w14:paraId="22E80C8F" w14:textId="77777777" w:rsidR="00817BE2" w:rsidRPr="00813216" w:rsidRDefault="00817BE2" w:rsidP="00B00E1C">
      <w:pPr>
        <w:spacing w:after="120" w:line="240" w:lineRule="auto"/>
      </w:pPr>
    </w:p>
    <w:p w14:paraId="6784E899" w14:textId="7799BC7A" w:rsidR="00864795" w:rsidRPr="00170D33" w:rsidRDefault="00864795" w:rsidP="00212181">
      <w:pPr>
        <w:pStyle w:val="Heading3"/>
        <w:spacing w:before="0" w:after="120"/>
        <w:rPr>
          <w:color w:val="21517C" w:themeColor="accent2" w:themeShade="BF"/>
        </w:rPr>
      </w:pPr>
      <w:r w:rsidRPr="00864795">
        <w:rPr>
          <w:rFonts w:ascii="Segoe UI Emoji" w:hAnsi="Segoe UI Emoji" w:cs="Segoe UI Emoji"/>
        </w:rPr>
        <w:t>⚠️</w:t>
      </w:r>
      <w:r w:rsidRPr="00864795">
        <w:t xml:space="preserve"> </w:t>
      </w:r>
      <w:r w:rsidR="00F77AC9">
        <w:t xml:space="preserve">Informed Consent </w:t>
      </w:r>
    </w:p>
    <w:p w14:paraId="0F000E62" w14:textId="535CDCE5" w:rsidR="001D0CB7" w:rsidRPr="00170D33" w:rsidRDefault="001D0CB7" w:rsidP="00212181">
      <w:pPr>
        <w:spacing w:after="120" w:line="240" w:lineRule="auto"/>
        <w:ind w:left="284"/>
        <w:jc w:val="both"/>
        <w:rPr>
          <w:rFonts w:ascii="Aptos" w:hAnsi="Aptos"/>
          <w:szCs w:val="20"/>
        </w:rPr>
      </w:pPr>
      <w:r w:rsidRPr="00170D33">
        <w:rPr>
          <w:rFonts w:ascii="Aptos" w:hAnsi="Aptos"/>
          <w:szCs w:val="20"/>
        </w:rPr>
        <w:t xml:space="preserve">When assisting patients to voluntarily register for MyMedicare ensure that they provide </w:t>
      </w:r>
      <w:r w:rsidRPr="00170D33">
        <w:rPr>
          <w:rFonts w:ascii="Aptos" w:hAnsi="Aptos"/>
          <w:b/>
          <w:bCs/>
          <w:szCs w:val="20"/>
        </w:rPr>
        <w:t>informed consent</w:t>
      </w:r>
      <w:r w:rsidRPr="00170D33">
        <w:rPr>
          <w:rFonts w:ascii="Aptos" w:hAnsi="Aptos"/>
          <w:szCs w:val="20"/>
        </w:rPr>
        <w:t xml:space="preserve">. </w:t>
      </w:r>
    </w:p>
    <w:p w14:paraId="1034763C" w14:textId="77777777" w:rsidR="001D0CB7" w:rsidRPr="00170D33" w:rsidRDefault="001D0CB7" w:rsidP="00212181">
      <w:pPr>
        <w:pStyle w:val="ListParagraph"/>
        <w:spacing w:after="120" w:line="240" w:lineRule="auto"/>
        <w:ind w:left="284"/>
        <w:contextualSpacing w:val="0"/>
        <w:jc w:val="both"/>
        <w:rPr>
          <w:rFonts w:ascii="Aptos" w:hAnsi="Aptos"/>
          <w:szCs w:val="20"/>
        </w:rPr>
      </w:pPr>
      <w:r w:rsidRPr="00170D33">
        <w:rPr>
          <w:rFonts w:ascii="Aptos" w:hAnsi="Aptos"/>
          <w:szCs w:val="20"/>
        </w:rPr>
        <w:t>Patients should be fully aware of the benefits and potential restrictions and have considered that MyMedicare registration will not negatively impact their ability to access GP services in accordance with their preferences.</w:t>
      </w:r>
    </w:p>
    <w:p w14:paraId="0A269A6A" w14:textId="665EDBD9" w:rsidR="00207047" w:rsidRPr="00005B81" w:rsidRDefault="00207047" w:rsidP="00B00E1C">
      <w:pPr>
        <w:pStyle w:val="ListParagraph"/>
        <w:numPr>
          <w:ilvl w:val="0"/>
          <w:numId w:val="31"/>
        </w:numPr>
        <w:spacing w:after="120" w:line="240" w:lineRule="auto"/>
        <w:contextualSpacing w:val="0"/>
        <w:jc w:val="both"/>
        <w:rPr>
          <w:rFonts w:ascii="Aptos" w:hAnsi="Aptos"/>
          <w:szCs w:val="20"/>
        </w:rPr>
      </w:pPr>
      <w:r w:rsidRPr="00005B81">
        <w:rPr>
          <w:rFonts w:ascii="Aptos" w:hAnsi="Aptos"/>
          <w:b/>
          <w:bCs/>
          <w:szCs w:val="20"/>
        </w:rPr>
        <w:t>Informed consent is essential</w:t>
      </w:r>
      <w:r w:rsidRPr="00005B81">
        <w:rPr>
          <w:rFonts w:ascii="Aptos" w:hAnsi="Aptos"/>
          <w:szCs w:val="20"/>
        </w:rPr>
        <w:t xml:space="preserve"> – registration must be initiated by the patient or done with their </w:t>
      </w:r>
      <w:r w:rsidR="002E6EF8">
        <w:rPr>
          <w:rFonts w:ascii="Aptos" w:hAnsi="Aptos"/>
          <w:szCs w:val="20"/>
        </w:rPr>
        <w:t xml:space="preserve">informed and </w:t>
      </w:r>
      <w:r w:rsidRPr="00005B81">
        <w:rPr>
          <w:rFonts w:ascii="Aptos" w:hAnsi="Aptos"/>
          <w:szCs w:val="20"/>
        </w:rPr>
        <w:t>signed approval.</w:t>
      </w:r>
    </w:p>
    <w:p w14:paraId="05FE8B49" w14:textId="77777777" w:rsidR="00207047" w:rsidRPr="00005B81" w:rsidRDefault="00207047" w:rsidP="00B00E1C">
      <w:pPr>
        <w:pStyle w:val="ListParagraph"/>
        <w:numPr>
          <w:ilvl w:val="0"/>
          <w:numId w:val="31"/>
        </w:numPr>
        <w:spacing w:after="120" w:line="240" w:lineRule="auto"/>
        <w:contextualSpacing w:val="0"/>
        <w:jc w:val="both"/>
        <w:rPr>
          <w:rFonts w:ascii="Aptos" w:hAnsi="Aptos"/>
          <w:szCs w:val="20"/>
        </w:rPr>
      </w:pPr>
      <w:r w:rsidRPr="00005B81">
        <w:rPr>
          <w:rFonts w:ascii="Aptos" w:hAnsi="Aptos"/>
          <w:b/>
          <w:bCs/>
          <w:szCs w:val="20"/>
        </w:rPr>
        <w:t>Unauthorised registration</w:t>
      </w:r>
      <w:r w:rsidRPr="00005B81">
        <w:rPr>
          <w:rFonts w:ascii="Aptos" w:hAnsi="Aptos"/>
          <w:szCs w:val="20"/>
        </w:rPr>
        <w:t xml:space="preserve"> is non-compliant and may lead to investigation.</w:t>
      </w:r>
    </w:p>
    <w:p w14:paraId="11321A88" w14:textId="4E4D7FE1" w:rsidR="00207047" w:rsidRPr="00005B81" w:rsidRDefault="002B27A5" w:rsidP="00B00E1C">
      <w:pPr>
        <w:pStyle w:val="ListParagraph"/>
        <w:numPr>
          <w:ilvl w:val="0"/>
          <w:numId w:val="31"/>
        </w:numPr>
        <w:spacing w:after="120" w:line="240" w:lineRule="auto"/>
        <w:contextualSpacing w:val="0"/>
        <w:jc w:val="both"/>
        <w:rPr>
          <w:rFonts w:ascii="Aptos" w:hAnsi="Aptos"/>
          <w:szCs w:val="20"/>
        </w:rPr>
      </w:pPr>
      <w:r>
        <w:rPr>
          <w:rFonts w:ascii="Aptos" w:hAnsi="Aptos"/>
          <w:b/>
          <w:bCs/>
          <w:szCs w:val="20"/>
        </w:rPr>
        <w:t>Retain copies of</w:t>
      </w:r>
      <w:r w:rsidR="00207047" w:rsidRPr="00005B81">
        <w:rPr>
          <w:rFonts w:ascii="Aptos" w:hAnsi="Aptos"/>
          <w:b/>
          <w:bCs/>
          <w:szCs w:val="20"/>
        </w:rPr>
        <w:t xml:space="preserve"> all signed forms</w:t>
      </w:r>
      <w:r w:rsidR="00207047" w:rsidRPr="00005B81">
        <w:rPr>
          <w:rFonts w:ascii="Aptos" w:hAnsi="Aptos"/>
          <w:szCs w:val="20"/>
        </w:rPr>
        <w:t xml:space="preserve"> and follow policy for patients unable to sign.</w:t>
      </w:r>
    </w:p>
    <w:p w14:paraId="6DDE42EF" w14:textId="77777777" w:rsidR="00813216" w:rsidRDefault="00813216" w:rsidP="00B00E1C">
      <w:pPr>
        <w:pStyle w:val="ListParagraph"/>
        <w:spacing w:after="120" w:line="240" w:lineRule="auto"/>
        <w:contextualSpacing w:val="0"/>
        <w:jc w:val="both"/>
        <w:rPr>
          <w:rFonts w:ascii="Aptos" w:hAnsi="Aptos"/>
          <w:szCs w:val="20"/>
        </w:rPr>
      </w:pPr>
    </w:p>
    <w:p w14:paraId="0C5BEB42" w14:textId="77777777" w:rsidR="00BA384F" w:rsidRPr="00005B81" w:rsidRDefault="00BA384F" w:rsidP="00B00E1C">
      <w:pPr>
        <w:pStyle w:val="ListParagraph"/>
        <w:spacing w:after="120" w:line="240" w:lineRule="auto"/>
        <w:contextualSpacing w:val="0"/>
        <w:jc w:val="both"/>
        <w:rPr>
          <w:rFonts w:ascii="Aptos" w:hAnsi="Aptos"/>
          <w:szCs w:val="20"/>
        </w:rPr>
      </w:pPr>
    </w:p>
    <w:p w14:paraId="1DC246C5" w14:textId="1F7F172C" w:rsidR="00816FC5" w:rsidRPr="00C8463A" w:rsidRDefault="004D59F5" w:rsidP="00212181">
      <w:pPr>
        <w:pStyle w:val="Heading3"/>
        <w:spacing w:before="0" w:after="120"/>
      </w:pPr>
      <w:r>
        <w:t xml:space="preserve">Checklist to </w:t>
      </w:r>
      <w:r w:rsidR="00E27A95">
        <w:t>help</w:t>
      </w:r>
      <w:r w:rsidR="001E4A57" w:rsidRPr="00C8463A">
        <w:t xml:space="preserve"> patients to </w:t>
      </w:r>
      <w:r w:rsidR="00241DC9">
        <w:t>register for</w:t>
      </w:r>
      <w:r w:rsidR="001E4A57" w:rsidRPr="00C8463A">
        <w:t xml:space="preserve"> MyMedicare </w:t>
      </w:r>
      <w:r w:rsidR="00241DC9">
        <w:t xml:space="preserve">at their </w:t>
      </w:r>
      <w:r w:rsidR="001E4A57" w:rsidRPr="00C8463A">
        <w:t>preferred practice</w:t>
      </w:r>
    </w:p>
    <w:p w14:paraId="47A88ADA" w14:textId="0AF8484A" w:rsidR="001D0CB7" w:rsidRPr="00170D33" w:rsidRDefault="001D0CB7" w:rsidP="00212181">
      <w:pPr>
        <w:spacing w:after="120" w:line="240" w:lineRule="auto"/>
        <w:jc w:val="both"/>
        <w:rPr>
          <w:rFonts w:ascii="Aptos" w:hAnsi="Aptos"/>
          <w:szCs w:val="20"/>
        </w:rPr>
      </w:pPr>
      <w:r w:rsidRPr="00170D33">
        <w:rPr>
          <w:rFonts w:ascii="Aptos" w:hAnsi="Aptos"/>
          <w:szCs w:val="20"/>
        </w:rPr>
        <w:t xml:space="preserve">If the patient is a permanent resident of a Residential Aged Care Home (RACH), participation in the General Practice in Aged Care Incentive requires MyMedicare registration. For all other patients use the </w:t>
      </w:r>
      <w:r w:rsidRPr="001A4EE1">
        <w:rPr>
          <w:rFonts w:ascii="Aptos" w:hAnsi="Aptos"/>
          <w:szCs w:val="20"/>
        </w:rPr>
        <w:t>checklist</w:t>
      </w:r>
      <w:r w:rsidR="0028243E">
        <w:rPr>
          <w:rFonts w:ascii="Aptos" w:hAnsi="Aptos"/>
          <w:szCs w:val="20"/>
        </w:rPr>
        <w:t>s</w:t>
      </w:r>
      <w:r w:rsidRPr="00170D33">
        <w:rPr>
          <w:rFonts w:ascii="Aptos" w:hAnsi="Aptos"/>
          <w:szCs w:val="20"/>
        </w:rPr>
        <w:t xml:space="preserve"> below.</w:t>
      </w:r>
    </w:p>
    <w:p w14:paraId="187C2D0D" w14:textId="77777777" w:rsidR="00484DEB" w:rsidRDefault="001D0CB7" w:rsidP="00212181">
      <w:pPr>
        <w:spacing w:after="120" w:line="240" w:lineRule="auto"/>
        <w:jc w:val="both"/>
        <w:rPr>
          <w:rFonts w:ascii="Aptos" w:hAnsi="Aptos"/>
          <w:szCs w:val="20"/>
        </w:rPr>
      </w:pPr>
      <w:r w:rsidRPr="00170D33">
        <w:rPr>
          <w:rFonts w:ascii="Aptos" w:hAnsi="Aptos"/>
          <w:szCs w:val="20"/>
        </w:rPr>
        <w:t>Firstly, ascertain whether the patient</w:t>
      </w:r>
      <w:r w:rsidR="00484DEB">
        <w:rPr>
          <w:rFonts w:ascii="Aptos" w:hAnsi="Aptos"/>
          <w:szCs w:val="20"/>
        </w:rPr>
        <w:t>:</w:t>
      </w:r>
    </w:p>
    <w:p w14:paraId="6594C100" w14:textId="3B18A4D8" w:rsidR="00484DEB" w:rsidRDefault="00484DEB" w:rsidP="00B00E1C">
      <w:pPr>
        <w:pStyle w:val="ListParagraph"/>
        <w:numPr>
          <w:ilvl w:val="0"/>
          <w:numId w:val="33"/>
        </w:numPr>
        <w:spacing w:after="120" w:line="240" w:lineRule="auto"/>
        <w:contextualSpacing w:val="0"/>
        <w:jc w:val="both"/>
        <w:rPr>
          <w:rFonts w:ascii="Aptos" w:hAnsi="Aptos"/>
          <w:szCs w:val="20"/>
        </w:rPr>
      </w:pPr>
      <w:r>
        <w:rPr>
          <w:rFonts w:ascii="Aptos" w:hAnsi="Aptos"/>
          <w:szCs w:val="20"/>
        </w:rPr>
        <w:t>A</w:t>
      </w:r>
      <w:r w:rsidR="001D0CB7" w:rsidRPr="00484DEB">
        <w:rPr>
          <w:rFonts w:ascii="Aptos" w:hAnsi="Aptos"/>
          <w:szCs w:val="20"/>
        </w:rPr>
        <w:t>ttends</w:t>
      </w:r>
      <w:r w:rsidR="001D0CB7" w:rsidRPr="00170D33">
        <w:rPr>
          <w:rFonts w:ascii="Aptos" w:hAnsi="Aptos"/>
          <w:szCs w:val="20"/>
        </w:rPr>
        <w:t xml:space="preserve"> your practice location for all their GP services</w:t>
      </w:r>
      <w:r w:rsidR="00EE184B">
        <w:rPr>
          <w:rFonts w:ascii="Aptos" w:hAnsi="Aptos"/>
          <w:szCs w:val="20"/>
        </w:rPr>
        <w:t xml:space="preserve"> (</w:t>
      </w:r>
      <w:r w:rsidR="004B1288">
        <w:rPr>
          <w:rFonts w:ascii="Aptos" w:hAnsi="Aptos"/>
          <w:szCs w:val="20"/>
        </w:rPr>
        <w:t>refer to</w:t>
      </w:r>
      <w:r w:rsidR="00EE184B">
        <w:rPr>
          <w:rFonts w:ascii="Aptos" w:hAnsi="Aptos"/>
          <w:szCs w:val="20"/>
        </w:rPr>
        <w:t xml:space="preserve"> scenario 1</w:t>
      </w:r>
      <w:r w:rsidR="00827E7D">
        <w:rPr>
          <w:rFonts w:ascii="Aptos" w:hAnsi="Aptos"/>
          <w:szCs w:val="20"/>
        </w:rPr>
        <w:t xml:space="preserve"> below</w:t>
      </w:r>
      <w:r w:rsidR="00EE184B">
        <w:rPr>
          <w:rFonts w:ascii="Aptos" w:hAnsi="Aptos"/>
          <w:szCs w:val="20"/>
        </w:rPr>
        <w:t>)</w:t>
      </w:r>
      <w:r w:rsidR="001D0CB7" w:rsidRPr="00170D33">
        <w:rPr>
          <w:rFonts w:ascii="Aptos" w:hAnsi="Aptos"/>
          <w:szCs w:val="20"/>
        </w:rPr>
        <w:t>, or</w:t>
      </w:r>
    </w:p>
    <w:p w14:paraId="4EB3DE5C" w14:textId="6E84155C" w:rsidR="001D0CB7" w:rsidRPr="00864795" w:rsidRDefault="002B48BE" w:rsidP="00B00E1C">
      <w:pPr>
        <w:pStyle w:val="ListParagraph"/>
        <w:numPr>
          <w:ilvl w:val="0"/>
          <w:numId w:val="33"/>
        </w:numPr>
        <w:spacing w:after="120" w:line="240" w:lineRule="auto"/>
        <w:contextualSpacing w:val="0"/>
        <w:jc w:val="both"/>
        <w:rPr>
          <w:rFonts w:ascii="Aptos" w:hAnsi="Aptos"/>
          <w:szCs w:val="20"/>
        </w:rPr>
      </w:pPr>
      <w:r>
        <w:rPr>
          <w:rFonts w:ascii="Aptos" w:hAnsi="Aptos"/>
          <w:szCs w:val="20"/>
        </w:rPr>
        <w:t xml:space="preserve">Attends and </w:t>
      </w:r>
      <w:r w:rsidR="001D0CB7" w:rsidRPr="00484DEB">
        <w:rPr>
          <w:rFonts w:ascii="Aptos" w:hAnsi="Aptos"/>
          <w:szCs w:val="20"/>
        </w:rPr>
        <w:t>access</w:t>
      </w:r>
      <w:r>
        <w:rPr>
          <w:rFonts w:ascii="Aptos" w:hAnsi="Aptos"/>
          <w:szCs w:val="20"/>
        </w:rPr>
        <w:t>es</w:t>
      </w:r>
      <w:r w:rsidR="001D0CB7" w:rsidRPr="00170D33">
        <w:rPr>
          <w:rFonts w:ascii="Aptos" w:hAnsi="Aptos"/>
          <w:szCs w:val="20"/>
        </w:rPr>
        <w:t xml:space="preserve"> other practice locations or other practices</w:t>
      </w:r>
      <w:r w:rsidR="00EE184B">
        <w:rPr>
          <w:rFonts w:ascii="Aptos" w:hAnsi="Aptos"/>
          <w:szCs w:val="20"/>
        </w:rPr>
        <w:t xml:space="preserve"> (</w:t>
      </w:r>
      <w:r w:rsidR="004B1288">
        <w:rPr>
          <w:rFonts w:ascii="Aptos" w:hAnsi="Aptos"/>
          <w:szCs w:val="20"/>
        </w:rPr>
        <w:t>refer to</w:t>
      </w:r>
      <w:r w:rsidR="00EE184B">
        <w:rPr>
          <w:rFonts w:ascii="Aptos" w:hAnsi="Aptos"/>
          <w:szCs w:val="20"/>
        </w:rPr>
        <w:t xml:space="preserve"> scenario 2</w:t>
      </w:r>
      <w:r w:rsidR="00827E7D">
        <w:rPr>
          <w:rFonts w:ascii="Aptos" w:hAnsi="Aptos"/>
          <w:szCs w:val="20"/>
        </w:rPr>
        <w:t xml:space="preserve"> below</w:t>
      </w:r>
      <w:r w:rsidR="00EE184B">
        <w:rPr>
          <w:rFonts w:ascii="Aptos" w:hAnsi="Aptos"/>
          <w:szCs w:val="20"/>
        </w:rPr>
        <w:t>)</w:t>
      </w:r>
      <w:r w:rsidR="001D0CB7" w:rsidRPr="00170D33">
        <w:rPr>
          <w:rFonts w:ascii="Aptos" w:hAnsi="Aptos"/>
          <w:szCs w:val="20"/>
        </w:rPr>
        <w:t>.</w:t>
      </w:r>
    </w:p>
    <w:p w14:paraId="7D387AB1" w14:textId="2561DD94" w:rsidR="001D0CB7" w:rsidRDefault="00EB3030" w:rsidP="00212181">
      <w:pPr>
        <w:spacing w:after="120" w:line="240" w:lineRule="auto"/>
        <w:jc w:val="both"/>
        <w:rPr>
          <w:rFonts w:ascii="Aptos" w:hAnsi="Aptos"/>
          <w:color w:val="21517C" w:themeColor="accent2" w:themeShade="BF"/>
          <w:szCs w:val="20"/>
        </w:rPr>
      </w:pPr>
      <w:r w:rsidRPr="00170D33">
        <w:rPr>
          <w:rFonts w:ascii="Aptos" w:hAnsi="Aptos"/>
          <w:szCs w:val="20"/>
          <w:lang w:val="en-GB"/>
        </w:rPr>
        <w:t xml:space="preserve">The Department of Health, Disabilities and Ageing </w:t>
      </w:r>
      <w:r w:rsidR="00864795" w:rsidRPr="00864795">
        <w:rPr>
          <w:rFonts w:ascii="Aptos" w:hAnsi="Aptos"/>
          <w:szCs w:val="20"/>
          <w:lang w:val="en-GB"/>
        </w:rPr>
        <w:t>appreciate</w:t>
      </w:r>
      <w:r w:rsidRPr="00170D33">
        <w:rPr>
          <w:rFonts w:ascii="Aptos" w:hAnsi="Aptos"/>
          <w:szCs w:val="20"/>
          <w:lang w:val="en-GB"/>
        </w:rPr>
        <w:t>s</w:t>
      </w:r>
      <w:r w:rsidR="00864795" w:rsidRPr="00864795">
        <w:rPr>
          <w:rFonts w:ascii="Aptos" w:hAnsi="Aptos"/>
          <w:szCs w:val="20"/>
          <w:lang w:val="en-GB"/>
        </w:rPr>
        <w:t xml:space="preserve"> your commitment to providing quality care.</w:t>
      </w:r>
      <w:r w:rsidR="00864795" w:rsidRPr="00864795">
        <w:rPr>
          <w:rFonts w:ascii="Aptos" w:hAnsi="Aptos"/>
          <w:szCs w:val="20"/>
        </w:rPr>
        <w:t> If you’re unsure about any part of the process, reach out to:</w:t>
      </w:r>
      <w:r w:rsidR="004B786F">
        <w:rPr>
          <w:rFonts w:ascii="Aptos" w:hAnsi="Aptos"/>
          <w:szCs w:val="20"/>
        </w:rPr>
        <w:t xml:space="preserve"> </w:t>
      </w:r>
      <w:hyperlink r:id="rId22" w:history="1">
        <w:r w:rsidR="0077187D" w:rsidRPr="00600CDA">
          <w:rPr>
            <w:rStyle w:val="Hyperlink"/>
            <w:rFonts w:ascii="Aptos" w:hAnsi="Aptos"/>
            <w:szCs w:val="20"/>
          </w:rPr>
          <w:t>MyMedicare@health.gov.au</w:t>
        </w:r>
      </w:hyperlink>
      <w:r w:rsidR="00864795" w:rsidRPr="00864795">
        <w:rPr>
          <w:rFonts w:ascii="Aptos" w:hAnsi="Aptos"/>
          <w:szCs w:val="20"/>
        </w:rPr>
        <w:t xml:space="preserve"> </w:t>
      </w:r>
      <w:r w:rsidR="00864795" w:rsidRPr="00864795">
        <w:rPr>
          <w:rFonts w:ascii="Aptos" w:hAnsi="Aptos"/>
          <w:b/>
          <w:bCs/>
          <w:szCs w:val="20"/>
        </w:rPr>
        <w:t>or</w:t>
      </w:r>
      <w:r w:rsidR="00864795" w:rsidRPr="00864795">
        <w:rPr>
          <w:rFonts w:ascii="Aptos" w:hAnsi="Aptos"/>
          <w:szCs w:val="20"/>
        </w:rPr>
        <w:t xml:space="preserve"> </w:t>
      </w:r>
      <w:hyperlink r:id="rId23">
        <w:r w:rsidR="00864795" w:rsidRPr="00864795">
          <w:rPr>
            <w:rStyle w:val="Hyperlink"/>
            <w:rFonts w:ascii="Aptos" w:hAnsi="Aptos"/>
            <w:szCs w:val="20"/>
          </w:rPr>
          <w:t>mymedicare@serviceaustralia.gov.au</w:t>
        </w:r>
      </w:hyperlink>
      <w:r w:rsidR="00170D33">
        <w:rPr>
          <w:rFonts w:ascii="Aptos" w:hAnsi="Aptos"/>
          <w:szCs w:val="20"/>
        </w:rPr>
        <w:t xml:space="preserve"> </w:t>
      </w:r>
      <w:r w:rsidR="00170D33" w:rsidRPr="00170D33">
        <w:rPr>
          <w:rFonts w:ascii="Aptos" w:hAnsi="Aptos"/>
          <w:szCs w:val="20"/>
        </w:rPr>
        <w:t xml:space="preserve">Or you can reach out to </w:t>
      </w:r>
      <w:r w:rsidR="00170D33" w:rsidRPr="00170D33">
        <w:rPr>
          <w:rFonts w:ascii="Aptos" w:hAnsi="Aptos"/>
          <w:b/>
          <w:bCs/>
          <w:color w:val="21517C" w:themeColor="accent2" w:themeShade="BF"/>
          <w:szCs w:val="20"/>
        </w:rPr>
        <w:t>your local PHN for support.</w:t>
      </w:r>
      <w:r w:rsidR="00170D33" w:rsidRPr="00170D33">
        <w:rPr>
          <w:rFonts w:ascii="Aptos" w:hAnsi="Aptos"/>
          <w:color w:val="21517C" w:themeColor="accent2" w:themeShade="BF"/>
          <w:szCs w:val="20"/>
        </w:rPr>
        <w:t xml:space="preserve"> </w:t>
      </w:r>
    </w:p>
    <w:p w14:paraId="6CD07159" w14:textId="77777777" w:rsidR="00BA384F" w:rsidRPr="00BA384F" w:rsidRDefault="00BA384F" w:rsidP="00212181">
      <w:pPr>
        <w:spacing w:after="120" w:line="240" w:lineRule="auto"/>
        <w:jc w:val="both"/>
        <w:rPr>
          <w:rFonts w:ascii="Aptos" w:hAnsi="Aptos"/>
          <w:color w:val="21517C" w:themeColor="accent2" w:themeShade="BF"/>
          <w:szCs w:val="20"/>
        </w:rPr>
      </w:pPr>
    </w:p>
    <w:p w14:paraId="53229C41" w14:textId="77777777" w:rsidR="00813216" w:rsidRPr="00BA384F" w:rsidRDefault="00813216" w:rsidP="00212181">
      <w:pPr>
        <w:spacing w:after="120" w:line="240" w:lineRule="auto"/>
        <w:jc w:val="both"/>
        <w:rPr>
          <w:rFonts w:ascii="Aptos" w:hAnsi="Aptos"/>
          <w:color w:val="21517C" w:themeColor="accent2" w:themeShade="BF"/>
          <w:szCs w:val="20"/>
        </w:rPr>
      </w:pPr>
    </w:p>
    <w:p w14:paraId="2F6FE5E6" w14:textId="77777777" w:rsidR="009E79B1" w:rsidRDefault="009E79B1" w:rsidP="00212181">
      <w:pPr>
        <w:spacing w:after="120" w:line="240" w:lineRule="auto"/>
        <w:jc w:val="both"/>
        <w:rPr>
          <w:rFonts w:ascii="Aptos" w:hAnsi="Aptos"/>
          <w:color w:val="21517C" w:themeColor="accent2" w:themeShade="BF"/>
          <w:szCs w:val="20"/>
        </w:rPr>
      </w:pPr>
    </w:p>
    <w:p w14:paraId="359A813F" w14:textId="77777777" w:rsidR="009E79B1" w:rsidRDefault="009E79B1" w:rsidP="00212181">
      <w:pPr>
        <w:spacing w:after="120" w:line="240" w:lineRule="auto"/>
        <w:jc w:val="both"/>
        <w:rPr>
          <w:rFonts w:ascii="Aptos" w:hAnsi="Aptos"/>
          <w:color w:val="21517C" w:themeColor="accent2" w:themeShade="BF"/>
          <w:szCs w:val="20"/>
        </w:rPr>
      </w:pPr>
    </w:p>
    <w:p w14:paraId="25E6F1F9" w14:textId="77777777" w:rsidR="009E79B1" w:rsidRDefault="009E79B1" w:rsidP="00212181">
      <w:pPr>
        <w:spacing w:after="120" w:line="240" w:lineRule="auto"/>
        <w:jc w:val="both"/>
        <w:rPr>
          <w:rFonts w:ascii="Aptos" w:hAnsi="Aptos"/>
          <w:color w:val="21517C" w:themeColor="accent2" w:themeShade="BF"/>
          <w:szCs w:val="20"/>
        </w:rPr>
      </w:pPr>
    </w:p>
    <w:p w14:paraId="7A41B02A" w14:textId="77777777" w:rsidR="009E79B1" w:rsidRDefault="009E79B1" w:rsidP="00212181">
      <w:pPr>
        <w:spacing w:after="120" w:line="240" w:lineRule="auto"/>
        <w:jc w:val="both"/>
        <w:rPr>
          <w:rFonts w:ascii="Aptos" w:hAnsi="Aptos"/>
          <w:color w:val="21517C" w:themeColor="accent2" w:themeShade="BF"/>
          <w:szCs w:val="20"/>
        </w:rPr>
      </w:pPr>
    </w:p>
    <w:p w14:paraId="1B166BFF" w14:textId="77777777" w:rsidR="009E79B1" w:rsidRDefault="009E79B1" w:rsidP="00212181">
      <w:pPr>
        <w:spacing w:after="120" w:line="240" w:lineRule="auto"/>
        <w:jc w:val="both"/>
        <w:rPr>
          <w:rFonts w:ascii="Aptos" w:hAnsi="Aptos"/>
          <w:color w:val="21517C" w:themeColor="accent2" w:themeShade="BF"/>
          <w:szCs w:val="20"/>
        </w:rPr>
      </w:pPr>
    </w:p>
    <w:p w14:paraId="32D3C479" w14:textId="77777777" w:rsidR="009E79B1" w:rsidRDefault="009E79B1" w:rsidP="00212181">
      <w:pPr>
        <w:spacing w:after="120" w:line="240" w:lineRule="auto"/>
        <w:jc w:val="both"/>
        <w:rPr>
          <w:rFonts w:ascii="Aptos" w:hAnsi="Aptos"/>
          <w:color w:val="21517C" w:themeColor="accent2" w:themeShade="BF"/>
          <w:szCs w:val="20"/>
        </w:rPr>
      </w:pPr>
    </w:p>
    <w:p w14:paraId="0B11D200" w14:textId="77777777" w:rsidR="009E79B1" w:rsidRDefault="009E79B1" w:rsidP="00212181">
      <w:pPr>
        <w:spacing w:after="120" w:line="240" w:lineRule="auto"/>
        <w:jc w:val="both"/>
        <w:rPr>
          <w:rFonts w:ascii="Aptos" w:hAnsi="Aptos"/>
          <w:color w:val="21517C" w:themeColor="accent2" w:themeShade="BF"/>
          <w:szCs w:val="20"/>
        </w:rPr>
      </w:pPr>
    </w:p>
    <w:p w14:paraId="586A2D96" w14:textId="77777777" w:rsidR="009E79B1" w:rsidRDefault="009E79B1" w:rsidP="00212181">
      <w:pPr>
        <w:spacing w:after="120" w:line="240" w:lineRule="auto"/>
        <w:jc w:val="both"/>
        <w:rPr>
          <w:rFonts w:ascii="Aptos" w:hAnsi="Aptos"/>
          <w:color w:val="21517C" w:themeColor="accent2" w:themeShade="BF"/>
          <w:szCs w:val="20"/>
        </w:rPr>
      </w:pPr>
    </w:p>
    <w:p w14:paraId="1A8C9E8F" w14:textId="77777777" w:rsidR="009E79B1" w:rsidRDefault="009E79B1" w:rsidP="00212181">
      <w:pPr>
        <w:spacing w:after="120" w:line="240" w:lineRule="auto"/>
        <w:jc w:val="both"/>
        <w:rPr>
          <w:rFonts w:ascii="Aptos" w:hAnsi="Aptos"/>
          <w:color w:val="21517C" w:themeColor="accent2" w:themeShade="BF"/>
          <w:szCs w:val="20"/>
        </w:rPr>
      </w:pPr>
    </w:p>
    <w:p w14:paraId="121B3669" w14:textId="77777777" w:rsidR="009E79B1" w:rsidRDefault="009E79B1" w:rsidP="00212181">
      <w:pPr>
        <w:spacing w:after="120" w:line="240" w:lineRule="auto"/>
        <w:jc w:val="both"/>
        <w:rPr>
          <w:rFonts w:ascii="Aptos" w:hAnsi="Aptos"/>
          <w:color w:val="21517C" w:themeColor="accent2" w:themeShade="BF"/>
          <w:szCs w:val="20"/>
        </w:rPr>
      </w:pPr>
    </w:p>
    <w:p w14:paraId="47A1023E" w14:textId="77777777" w:rsidR="009E79B1" w:rsidRDefault="009E79B1" w:rsidP="00212181">
      <w:pPr>
        <w:spacing w:after="120" w:line="240" w:lineRule="auto"/>
        <w:jc w:val="both"/>
        <w:rPr>
          <w:rFonts w:ascii="Aptos" w:hAnsi="Aptos"/>
          <w:color w:val="21517C" w:themeColor="accent2" w:themeShade="BF"/>
          <w:szCs w:val="20"/>
        </w:rPr>
      </w:pPr>
    </w:p>
    <w:p w14:paraId="52EA03E8" w14:textId="77777777" w:rsidR="009E79B1" w:rsidRDefault="009E79B1" w:rsidP="00212181">
      <w:pPr>
        <w:spacing w:after="120" w:line="240" w:lineRule="auto"/>
        <w:jc w:val="both"/>
        <w:rPr>
          <w:rFonts w:ascii="Aptos" w:hAnsi="Aptos"/>
          <w:color w:val="21517C" w:themeColor="accent2" w:themeShade="BF"/>
          <w:szCs w:val="20"/>
        </w:rPr>
      </w:pPr>
    </w:p>
    <w:p w14:paraId="2B574ECF" w14:textId="77777777" w:rsidR="009E79B1" w:rsidRDefault="009E79B1" w:rsidP="00212181">
      <w:pPr>
        <w:spacing w:after="120" w:line="240" w:lineRule="auto"/>
        <w:jc w:val="both"/>
        <w:rPr>
          <w:rFonts w:ascii="Aptos" w:hAnsi="Aptos"/>
          <w:color w:val="21517C" w:themeColor="accent2" w:themeShade="BF"/>
          <w:szCs w:val="20"/>
        </w:rPr>
      </w:pPr>
    </w:p>
    <w:p w14:paraId="09468197" w14:textId="591DB420" w:rsidR="001D0CB7" w:rsidRPr="00166E68" w:rsidRDefault="003E1CB0" w:rsidP="00817BE2">
      <w:pPr>
        <w:spacing w:after="120" w:line="240" w:lineRule="auto"/>
        <w:rPr>
          <w:rFonts w:ascii="Aptos" w:hAnsi="Aptos"/>
          <w:b/>
          <w:bCs/>
          <w:color w:val="293272" w:themeColor="accent1"/>
          <w:sz w:val="24"/>
          <w:szCs w:val="24"/>
        </w:rPr>
      </w:pPr>
      <w:r w:rsidRPr="00166E68">
        <w:rPr>
          <w:rFonts w:ascii="Aptos" w:hAnsi="Aptos"/>
          <w:b/>
          <w:bCs/>
          <w:color w:val="293272" w:themeColor="accent1"/>
          <w:sz w:val="24"/>
          <w:szCs w:val="24"/>
        </w:rPr>
        <w:t xml:space="preserve">Scenario 1 </w:t>
      </w:r>
      <w:r w:rsidR="0060297E">
        <w:rPr>
          <w:rFonts w:ascii="Aptos" w:hAnsi="Aptos"/>
          <w:b/>
          <w:bCs/>
          <w:color w:val="293272" w:themeColor="accent1"/>
          <w:sz w:val="24"/>
          <w:szCs w:val="24"/>
        </w:rPr>
        <w:t>–</w:t>
      </w:r>
      <w:r w:rsidRPr="21E089AA">
        <w:rPr>
          <w:rFonts w:ascii="Aptos" w:hAnsi="Aptos"/>
          <w:b/>
          <w:bCs/>
          <w:color w:val="293272" w:themeColor="accent1"/>
          <w:sz w:val="24"/>
          <w:szCs w:val="24"/>
        </w:rPr>
        <w:t xml:space="preserve"> </w:t>
      </w:r>
      <w:r w:rsidR="6F558A7E" w:rsidRPr="21E089AA">
        <w:rPr>
          <w:rFonts w:ascii="Aptos" w:hAnsi="Aptos"/>
          <w:b/>
          <w:bCs/>
          <w:color w:val="293272" w:themeColor="accent1"/>
          <w:sz w:val="24"/>
          <w:szCs w:val="24"/>
        </w:rPr>
        <w:t>I</w:t>
      </w:r>
      <w:r w:rsidR="00E3356D">
        <w:rPr>
          <w:rFonts w:ascii="Aptos" w:hAnsi="Aptos"/>
          <w:b/>
          <w:bCs/>
          <w:color w:val="293272" w:themeColor="accent1"/>
          <w:sz w:val="24"/>
          <w:szCs w:val="24"/>
        </w:rPr>
        <w:t>f</w:t>
      </w:r>
      <w:r w:rsidR="0060297E">
        <w:rPr>
          <w:rFonts w:ascii="Aptos" w:hAnsi="Aptos"/>
          <w:b/>
          <w:bCs/>
          <w:color w:val="293272" w:themeColor="accent1"/>
          <w:sz w:val="24"/>
          <w:szCs w:val="24"/>
        </w:rPr>
        <w:t xml:space="preserve"> your general practice is</w:t>
      </w:r>
      <w:r w:rsidR="007625C4" w:rsidRPr="00166E68">
        <w:rPr>
          <w:rFonts w:ascii="Aptos" w:hAnsi="Aptos"/>
          <w:b/>
          <w:bCs/>
          <w:color w:val="293272" w:themeColor="accent1"/>
          <w:sz w:val="24"/>
          <w:szCs w:val="24"/>
        </w:rPr>
        <w:t xml:space="preserve"> the only </w:t>
      </w:r>
      <w:r w:rsidR="0005291E" w:rsidRPr="00166E68">
        <w:rPr>
          <w:rFonts w:ascii="Aptos" w:hAnsi="Aptos"/>
          <w:b/>
          <w:bCs/>
          <w:color w:val="293272" w:themeColor="accent1"/>
          <w:sz w:val="24"/>
          <w:szCs w:val="24"/>
        </w:rPr>
        <w:t>general practi</w:t>
      </w:r>
      <w:r w:rsidR="00ED72ED" w:rsidRPr="00166E68">
        <w:rPr>
          <w:rFonts w:ascii="Aptos" w:hAnsi="Aptos"/>
          <w:b/>
          <w:bCs/>
          <w:color w:val="293272" w:themeColor="accent1"/>
          <w:sz w:val="24"/>
          <w:szCs w:val="24"/>
        </w:rPr>
        <w:t>c</w:t>
      </w:r>
      <w:r w:rsidR="0005291E" w:rsidRPr="00166E68">
        <w:rPr>
          <w:rFonts w:ascii="Aptos" w:hAnsi="Aptos"/>
          <w:b/>
          <w:bCs/>
          <w:color w:val="293272" w:themeColor="accent1"/>
          <w:sz w:val="24"/>
          <w:szCs w:val="24"/>
        </w:rPr>
        <w:t xml:space="preserve">e </w:t>
      </w:r>
      <w:r w:rsidR="0060297E">
        <w:rPr>
          <w:rFonts w:ascii="Aptos" w:hAnsi="Aptos"/>
          <w:b/>
          <w:bCs/>
          <w:color w:val="293272" w:themeColor="accent1"/>
          <w:sz w:val="24"/>
          <w:szCs w:val="24"/>
        </w:rPr>
        <w:t xml:space="preserve">the </w:t>
      </w:r>
      <w:r w:rsidR="0005291E" w:rsidRPr="00166E68">
        <w:rPr>
          <w:rFonts w:ascii="Aptos" w:hAnsi="Aptos"/>
          <w:b/>
          <w:bCs/>
          <w:color w:val="293272" w:themeColor="accent1"/>
          <w:sz w:val="24"/>
          <w:szCs w:val="24"/>
        </w:rPr>
        <w:t>patient attends</w:t>
      </w:r>
      <w:r w:rsidR="00BA384F">
        <w:rPr>
          <w:rFonts w:ascii="Aptos" w:hAnsi="Aptos"/>
          <w:b/>
          <w:bCs/>
          <w:color w:val="293272" w:themeColor="accent1"/>
          <w:sz w:val="24"/>
          <w:szCs w:val="24"/>
        </w:rPr>
        <w:t>…</w:t>
      </w:r>
    </w:p>
    <w:p w14:paraId="5AAC5D27" w14:textId="7EE78938" w:rsidR="001D0CB7" w:rsidRPr="00170D33" w:rsidRDefault="001D0CB7" w:rsidP="00212181">
      <w:pPr>
        <w:pStyle w:val="ListParagraph"/>
        <w:spacing w:after="120" w:line="240" w:lineRule="auto"/>
        <w:ind w:left="284"/>
        <w:jc w:val="both"/>
        <w:rPr>
          <w:rFonts w:ascii="Aptos" w:hAnsi="Aptos"/>
          <w:szCs w:val="20"/>
        </w:rPr>
      </w:pPr>
      <w:r w:rsidRPr="00170D33">
        <w:rPr>
          <w:rFonts w:ascii="Aptos" w:hAnsi="Aptos"/>
          <w:szCs w:val="20"/>
        </w:rPr>
        <w:t xml:space="preserve">If the patient </w:t>
      </w:r>
      <w:r w:rsidRPr="00170D33">
        <w:rPr>
          <w:rFonts w:ascii="Aptos" w:hAnsi="Aptos"/>
          <w:b/>
          <w:bCs/>
          <w:szCs w:val="20"/>
        </w:rPr>
        <w:t>only accesses your practice location</w:t>
      </w:r>
      <w:r w:rsidRPr="00170D33">
        <w:rPr>
          <w:rFonts w:ascii="Aptos" w:hAnsi="Aptos"/>
          <w:szCs w:val="20"/>
        </w:rPr>
        <w:t xml:space="preserve"> explain that if they register with MyMedicare: </w:t>
      </w:r>
    </w:p>
    <w:p w14:paraId="217E90F7" w14:textId="64D46313" w:rsidR="001D0CB7" w:rsidRPr="00170D33" w:rsidRDefault="00BF1E53" w:rsidP="00212181">
      <w:pPr>
        <w:spacing w:after="120" w:line="240" w:lineRule="auto"/>
        <w:ind w:firstLine="349"/>
        <w:jc w:val="both"/>
        <w:rPr>
          <w:rFonts w:ascii="Aptos" w:hAnsi="Aptos"/>
          <w:szCs w:val="20"/>
        </w:rPr>
      </w:pPr>
      <w:r w:rsidRPr="00170D33">
        <w:rPr>
          <w:rFonts w:ascii="Aptos" w:hAnsi="Aptos"/>
          <w:b/>
          <w:bCs/>
          <w:szCs w:val="20"/>
        </w:rPr>
        <w:t xml:space="preserve">☐ </w:t>
      </w:r>
      <w:r w:rsidR="00085A6F">
        <w:rPr>
          <w:rFonts w:ascii="Aptos" w:hAnsi="Aptos"/>
          <w:b/>
          <w:bCs/>
          <w:szCs w:val="20"/>
        </w:rPr>
        <w:t>This will f</w:t>
      </w:r>
      <w:r w:rsidR="001D0CB7" w:rsidRPr="001C2E4D">
        <w:rPr>
          <w:rFonts w:ascii="Aptos" w:hAnsi="Aptos"/>
          <w:b/>
          <w:szCs w:val="20"/>
        </w:rPr>
        <w:t>ormalise their relationship with your practice</w:t>
      </w:r>
      <w:r w:rsidR="001D0CB7" w:rsidRPr="00170D33">
        <w:rPr>
          <w:rFonts w:ascii="Aptos" w:hAnsi="Aptos"/>
          <w:szCs w:val="20"/>
        </w:rPr>
        <w:t xml:space="preserve">, which will retain your continuity of care with them. </w:t>
      </w:r>
    </w:p>
    <w:p w14:paraId="0F8C0782" w14:textId="2B26A423" w:rsidR="001D0CB7" w:rsidRPr="00170D33" w:rsidRDefault="00BF1E53" w:rsidP="00212181">
      <w:pPr>
        <w:spacing w:after="120" w:line="240" w:lineRule="auto"/>
        <w:ind w:left="633" w:hanging="284"/>
        <w:jc w:val="both"/>
        <w:rPr>
          <w:rFonts w:ascii="Aptos" w:hAnsi="Aptos"/>
          <w:color w:val="21517C" w:themeColor="accent2" w:themeShade="BF"/>
          <w:szCs w:val="20"/>
        </w:rPr>
      </w:pPr>
      <w:r w:rsidRPr="00170D33">
        <w:rPr>
          <w:rFonts w:ascii="Aptos" w:hAnsi="Aptos"/>
          <w:b/>
          <w:bCs/>
          <w:szCs w:val="20"/>
        </w:rPr>
        <w:t>☐</w:t>
      </w:r>
      <w:r w:rsidR="00085A6F">
        <w:rPr>
          <w:rFonts w:ascii="Aptos" w:hAnsi="Aptos"/>
          <w:b/>
          <w:bCs/>
          <w:szCs w:val="20"/>
        </w:rPr>
        <w:t xml:space="preserve"> They will o</w:t>
      </w:r>
      <w:r w:rsidR="001D0CB7" w:rsidRPr="001C2E4D">
        <w:rPr>
          <w:rFonts w:ascii="Aptos" w:hAnsi="Aptos"/>
          <w:b/>
          <w:szCs w:val="20"/>
        </w:rPr>
        <w:t xml:space="preserve">nly be able to access </w:t>
      </w:r>
      <w:r w:rsidR="00C97D8D">
        <w:rPr>
          <w:rFonts w:ascii="Aptos" w:hAnsi="Aptos"/>
          <w:b/>
          <w:szCs w:val="20"/>
        </w:rPr>
        <w:t>GPCCMP (Chronic Condition Management Plan)</w:t>
      </w:r>
      <w:r w:rsidR="001D0CB7" w:rsidRPr="001C2E4D">
        <w:rPr>
          <w:rFonts w:ascii="Aptos" w:hAnsi="Aptos"/>
          <w:b/>
          <w:szCs w:val="20"/>
        </w:rPr>
        <w:t xml:space="preserve"> and review services from this practice location</w:t>
      </w:r>
    </w:p>
    <w:p w14:paraId="0A08CD69" w14:textId="62C1CD12" w:rsidR="001D0CB7" w:rsidRPr="00170D33" w:rsidRDefault="00D464BF" w:rsidP="00212181">
      <w:pPr>
        <w:pStyle w:val="ListParagraph"/>
        <w:numPr>
          <w:ilvl w:val="0"/>
          <w:numId w:val="12"/>
        </w:numPr>
        <w:spacing w:after="120" w:line="240" w:lineRule="auto"/>
        <w:ind w:left="993"/>
        <w:jc w:val="both"/>
        <w:rPr>
          <w:rFonts w:ascii="Aptos" w:hAnsi="Aptos"/>
          <w:szCs w:val="20"/>
        </w:rPr>
      </w:pPr>
      <w:r>
        <w:rPr>
          <w:rFonts w:ascii="Aptos" w:hAnsi="Aptos"/>
          <w:szCs w:val="20"/>
        </w:rPr>
        <w:t>patients</w:t>
      </w:r>
      <w:r w:rsidR="001D0CB7" w:rsidRPr="00170D33">
        <w:rPr>
          <w:rFonts w:ascii="Aptos" w:hAnsi="Aptos"/>
          <w:szCs w:val="20"/>
        </w:rPr>
        <w:t xml:space="preserve"> will not be able to access these services from another practice or practice location, even if their preferred GP works at another location</w:t>
      </w:r>
      <w:r w:rsidR="00121B95">
        <w:rPr>
          <w:rFonts w:ascii="Aptos" w:hAnsi="Aptos"/>
          <w:szCs w:val="20"/>
        </w:rPr>
        <w:t xml:space="preserve"> (for the same practice)</w:t>
      </w:r>
      <w:r w:rsidR="001D0CB7" w:rsidRPr="00170D33">
        <w:rPr>
          <w:rFonts w:ascii="Aptos" w:hAnsi="Aptos"/>
          <w:szCs w:val="20"/>
        </w:rPr>
        <w:t xml:space="preserve">. </w:t>
      </w:r>
    </w:p>
    <w:p w14:paraId="0EBCFE0E" w14:textId="060BB2F3" w:rsidR="001D0CB7" w:rsidRPr="00170D33" w:rsidRDefault="00EB3030" w:rsidP="00212181">
      <w:pPr>
        <w:pStyle w:val="ListParagraph"/>
        <w:numPr>
          <w:ilvl w:val="0"/>
          <w:numId w:val="12"/>
        </w:numPr>
        <w:spacing w:after="120" w:line="240" w:lineRule="auto"/>
        <w:ind w:left="993"/>
        <w:jc w:val="both"/>
        <w:rPr>
          <w:rFonts w:ascii="Aptos" w:hAnsi="Aptos"/>
          <w:szCs w:val="20"/>
        </w:rPr>
      </w:pPr>
      <w:r w:rsidRPr="00170D33">
        <w:rPr>
          <w:rFonts w:ascii="Aptos" w:hAnsi="Aptos"/>
          <w:szCs w:val="20"/>
        </w:rPr>
        <w:t>t</w:t>
      </w:r>
      <w:r w:rsidR="001D0CB7" w:rsidRPr="00170D33">
        <w:rPr>
          <w:rFonts w:ascii="Aptos" w:hAnsi="Aptos"/>
          <w:szCs w:val="20"/>
        </w:rPr>
        <w:t xml:space="preserve">he exception to this is </w:t>
      </w:r>
      <w:r w:rsidR="00121B95">
        <w:rPr>
          <w:rFonts w:ascii="Aptos" w:hAnsi="Aptos"/>
          <w:szCs w:val="20"/>
        </w:rPr>
        <w:t xml:space="preserve">the </w:t>
      </w:r>
      <w:r w:rsidR="00121B95" w:rsidRPr="00121B95">
        <w:rPr>
          <w:rFonts w:ascii="Aptos" w:hAnsi="Aptos"/>
          <w:b/>
          <w:szCs w:val="20"/>
        </w:rPr>
        <w:t xml:space="preserve"> </w:t>
      </w:r>
      <w:hyperlink r:id="rId24" w:history="1">
        <w:r w:rsidR="00121B95" w:rsidRPr="00121B95">
          <w:rPr>
            <w:rStyle w:val="Hyperlink"/>
            <w:rFonts w:ascii="Aptos" w:hAnsi="Aptos"/>
            <w:b/>
            <w:bCs/>
            <w:szCs w:val="20"/>
          </w:rPr>
          <w:t>ACCHO/AMS services that operate as a ‘hub and spoke’ model</w:t>
        </w:r>
      </w:hyperlink>
      <w:r w:rsidR="001D0CB7" w:rsidRPr="00170D33">
        <w:rPr>
          <w:rFonts w:ascii="Aptos" w:hAnsi="Aptos"/>
          <w:szCs w:val="20"/>
        </w:rPr>
        <w:t>. Patients can access the hub and all spokes if they register at the hub.</w:t>
      </w:r>
    </w:p>
    <w:p w14:paraId="69B8FC3C" w14:textId="45B92133" w:rsidR="004F4BF0" w:rsidRPr="004F4BF0" w:rsidRDefault="00BF1E53" w:rsidP="00212181">
      <w:pPr>
        <w:spacing w:after="120" w:line="240" w:lineRule="auto"/>
        <w:ind w:left="349"/>
        <w:jc w:val="both"/>
        <w:rPr>
          <w:rFonts w:ascii="Aptos" w:hAnsi="Aptos"/>
          <w:b/>
          <w:szCs w:val="20"/>
        </w:rPr>
      </w:pPr>
      <w:r w:rsidRPr="00170D33">
        <w:rPr>
          <w:rFonts w:ascii="Aptos" w:hAnsi="Aptos"/>
          <w:b/>
          <w:bCs/>
          <w:szCs w:val="20"/>
        </w:rPr>
        <w:t>☐</w:t>
      </w:r>
      <w:r w:rsidR="00085A6F">
        <w:rPr>
          <w:rFonts w:ascii="Aptos" w:hAnsi="Aptos"/>
          <w:b/>
          <w:bCs/>
          <w:szCs w:val="20"/>
        </w:rPr>
        <w:t xml:space="preserve"> They will </w:t>
      </w:r>
      <w:r w:rsidR="003B290D">
        <w:rPr>
          <w:rFonts w:ascii="Aptos" w:hAnsi="Aptos"/>
          <w:b/>
          <w:bCs/>
          <w:szCs w:val="20"/>
        </w:rPr>
        <w:t xml:space="preserve">be eligible for </w:t>
      </w:r>
      <w:r w:rsidR="00B524FD">
        <w:rPr>
          <w:rFonts w:ascii="Aptos" w:hAnsi="Aptos"/>
          <w:b/>
          <w:szCs w:val="20"/>
        </w:rPr>
        <w:t>20</w:t>
      </w:r>
      <w:r w:rsidR="009E317F">
        <w:rPr>
          <w:rFonts w:ascii="Aptos" w:hAnsi="Aptos"/>
          <w:b/>
          <w:szCs w:val="20"/>
        </w:rPr>
        <w:t xml:space="preserve"> - 40min (</w:t>
      </w:r>
      <w:r w:rsidR="001D0CB7" w:rsidRPr="001C2E4D">
        <w:rPr>
          <w:rFonts w:ascii="Aptos" w:hAnsi="Aptos"/>
          <w:b/>
          <w:szCs w:val="20"/>
        </w:rPr>
        <w:t>Level C and D</w:t>
      </w:r>
      <w:r w:rsidR="009E317F">
        <w:rPr>
          <w:rFonts w:ascii="Aptos" w:hAnsi="Aptos"/>
          <w:b/>
          <w:szCs w:val="20"/>
        </w:rPr>
        <w:t>)</w:t>
      </w:r>
      <w:r w:rsidR="001D0CB7" w:rsidRPr="001C2E4D">
        <w:rPr>
          <w:rFonts w:ascii="Aptos" w:hAnsi="Aptos"/>
          <w:b/>
          <w:szCs w:val="20"/>
        </w:rPr>
        <w:t xml:space="preserve"> tele</w:t>
      </w:r>
      <w:r w:rsidR="00B524FD">
        <w:rPr>
          <w:rFonts w:ascii="Aptos" w:hAnsi="Aptos"/>
          <w:b/>
          <w:szCs w:val="20"/>
        </w:rPr>
        <w:t xml:space="preserve">phone </w:t>
      </w:r>
      <w:r w:rsidR="0020426B" w:rsidRPr="001C2E4D">
        <w:rPr>
          <w:rFonts w:ascii="Aptos" w:hAnsi="Aptos"/>
          <w:b/>
          <w:szCs w:val="20"/>
        </w:rPr>
        <w:t>appointments</w:t>
      </w:r>
      <w:r w:rsidR="0020426B">
        <w:rPr>
          <w:rFonts w:ascii="Aptos" w:hAnsi="Aptos"/>
          <w:b/>
          <w:szCs w:val="20"/>
        </w:rPr>
        <w:t xml:space="preserve"> and</w:t>
      </w:r>
      <w:r w:rsidR="00817F28">
        <w:rPr>
          <w:rFonts w:ascii="Aptos" w:hAnsi="Aptos"/>
          <w:b/>
          <w:szCs w:val="20"/>
        </w:rPr>
        <w:t xml:space="preserve"> may be bulk billed for </w:t>
      </w:r>
      <w:r w:rsidR="009939E0">
        <w:rPr>
          <w:rFonts w:ascii="Aptos" w:hAnsi="Aptos"/>
          <w:b/>
          <w:szCs w:val="20"/>
        </w:rPr>
        <w:t>other telehealth services provided by your practice</w:t>
      </w:r>
      <w:r w:rsidR="001D0CB7" w:rsidRPr="001C2E4D">
        <w:rPr>
          <w:rFonts w:ascii="Aptos" w:hAnsi="Aptos"/>
          <w:b/>
          <w:szCs w:val="20"/>
        </w:rPr>
        <w:t>.</w:t>
      </w:r>
    </w:p>
    <w:p w14:paraId="27B25CC2" w14:textId="4DEE4613" w:rsidR="00366666" w:rsidRDefault="00BF1E53" w:rsidP="00212181">
      <w:pPr>
        <w:spacing w:after="120" w:line="240" w:lineRule="auto"/>
        <w:ind w:firstLine="349"/>
        <w:jc w:val="both"/>
        <w:rPr>
          <w:rFonts w:ascii="Aptos" w:hAnsi="Aptos"/>
          <w:szCs w:val="20"/>
        </w:rPr>
      </w:pPr>
      <w:r w:rsidRPr="00170D33">
        <w:rPr>
          <w:rFonts w:ascii="Aptos" w:hAnsi="Aptos"/>
          <w:b/>
          <w:bCs/>
          <w:szCs w:val="20"/>
        </w:rPr>
        <w:t>☐</w:t>
      </w:r>
      <w:r w:rsidR="004B3DD4">
        <w:rPr>
          <w:rFonts w:ascii="Aptos" w:hAnsi="Aptos"/>
          <w:b/>
          <w:bCs/>
          <w:szCs w:val="20"/>
        </w:rPr>
        <w:t xml:space="preserve"> They </w:t>
      </w:r>
      <w:r w:rsidR="00661D8D">
        <w:rPr>
          <w:rFonts w:ascii="Aptos" w:hAnsi="Aptos"/>
          <w:b/>
          <w:bCs/>
          <w:szCs w:val="20"/>
        </w:rPr>
        <w:t>can</w:t>
      </w:r>
      <w:r w:rsidR="00366666" w:rsidRPr="001C2E4D">
        <w:rPr>
          <w:rFonts w:ascii="Aptos" w:hAnsi="Aptos"/>
          <w:b/>
          <w:bCs/>
          <w:szCs w:val="20"/>
        </w:rPr>
        <w:t xml:space="preserve"> </w:t>
      </w:r>
      <w:hyperlink r:id="rId25" w:anchor=":~:text=Withdrawing%20your%20registration,-You%20can%20choose&amp;text=If%20you%20want%20to%20withdraw,withdraw%20your%20registration%20from%20MyMedicare" w:history="1">
        <w:r w:rsidR="00366666" w:rsidRPr="00B17E6E">
          <w:rPr>
            <w:rStyle w:val="Hyperlink"/>
            <w:rFonts w:ascii="Aptos" w:hAnsi="Aptos"/>
            <w:b/>
            <w:bCs/>
            <w:szCs w:val="20"/>
          </w:rPr>
          <w:t>withdraw their registration</w:t>
        </w:r>
      </w:hyperlink>
      <w:r w:rsidR="00366666" w:rsidRPr="001C2E4D">
        <w:rPr>
          <w:rFonts w:ascii="Aptos" w:hAnsi="Aptos"/>
          <w:b/>
          <w:bCs/>
          <w:szCs w:val="20"/>
        </w:rPr>
        <w:t xml:space="preserve"> with MyMedicare or change to another practice</w:t>
      </w:r>
      <w:r w:rsidR="00366666" w:rsidRPr="001C2E4D">
        <w:rPr>
          <w:rFonts w:ascii="Aptos" w:hAnsi="Aptos"/>
          <w:szCs w:val="20"/>
        </w:rPr>
        <w:t xml:space="preserve"> </w:t>
      </w:r>
      <w:r w:rsidR="00366666" w:rsidRPr="00170D33">
        <w:rPr>
          <w:rFonts w:ascii="Aptos" w:hAnsi="Aptos"/>
          <w:szCs w:val="20"/>
        </w:rPr>
        <w:t>(or location) at any time.</w:t>
      </w:r>
    </w:p>
    <w:p w14:paraId="3C2FE172" w14:textId="31A3AD25" w:rsidR="001D0CB7" w:rsidRPr="00170D33" w:rsidRDefault="00366666" w:rsidP="00212181">
      <w:pPr>
        <w:spacing w:after="120" w:line="240" w:lineRule="auto"/>
        <w:ind w:left="284"/>
        <w:jc w:val="both"/>
        <w:rPr>
          <w:rFonts w:ascii="Aptos" w:hAnsi="Aptos"/>
          <w:szCs w:val="20"/>
        </w:rPr>
      </w:pPr>
      <w:r w:rsidRPr="00C43AAD">
        <w:rPr>
          <w:rFonts w:ascii="Aptos" w:hAnsi="Aptos"/>
          <w:b/>
          <w:bCs/>
          <w:szCs w:val="20"/>
        </w:rPr>
        <w:t>NOTE</w:t>
      </w:r>
      <w:r w:rsidR="00244AC4" w:rsidRPr="00C43AAD">
        <w:rPr>
          <w:rFonts w:ascii="Aptos" w:hAnsi="Aptos"/>
          <w:b/>
          <w:bCs/>
          <w:szCs w:val="20"/>
        </w:rPr>
        <w:t>:</w:t>
      </w:r>
      <w:r>
        <w:rPr>
          <w:rFonts w:ascii="Aptos" w:hAnsi="Aptos"/>
          <w:szCs w:val="20"/>
        </w:rPr>
        <w:t xml:space="preserve"> </w:t>
      </w:r>
      <w:r w:rsidR="00D464BF">
        <w:rPr>
          <w:rFonts w:ascii="Aptos" w:hAnsi="Aptos"/>
          <w:szCs w:val="20"/>
        </w:rPr>
        <w:t xml:space="preserve">Patients </w:t>
      </w:r>
      <w:r w:rsidR="001D0CB7" w:rsidRPr="00170D33">
        <w:rPr>
          <w:rFonts w:ascii="Aptos" w:hAnsi="Aptos"/>
          <w:szCs w:val="20"/>
        </w:rPr>
        <w:t xml:space="preserve">can still access services from other practice locations </w:t>
      </w:r>
      <w:r w:rsidR="002B1F91">
        <w:rPr>
          <w:rFonts w:ascii="Aptos" w:hAnsi="Aptos"/>
          <w:szCs w:val="20"/>
        </w:rPr>
        <w:t>(</w:t>
      </w:r>
      <w:r w:rsidR="00667FA4">
        <w:rPr>
          <w:rFonts w:ascii="Aptos" w:hAnsi="Aptos"/>
          <w:szCs w:val="20"/>
        </w:rPr>
        <w:t xml:space="preserve">e.g. </w:t>
      </w:r>
      <w:r w:rsidR="002B1F91">
        <w:rPr>
          <w:rFonts w:ascii="Aptos" w:hAnsi="Aptos"/>
          <w:szCs w:val="20"/>
        </w:rPr>
        <w:t xml:space="preserve">for emergent health needs such as acute health needs, </w:t>
      </w:r>
      <w:r w:rsidR="002F43C7">
        <w:rPr>
          <w:rFonts w:ascii="Aptos" w:hAnsi="Aptos"/>
          <w:szCs w:val="20"/>
        </w:rPr>
        <w:t xml:space="preserve">medical certificate, script renewal etc) </w:t>
      </w:r>
      <w:r w:rsidR="00DE4401" w:rsidRPr="00667FA4">
        <w:rPr>
          <w:rFonts w:ascii="Aptos" w:hAnsi="Aptos"/>
          <w:b/>
          <w:bCs/>
          <w:szCs w:val="20"/>
        </w:rPr>
        <w:t>except</w:t>
      </w:r>
      <w:r w:rsidR="00DE4401">
        <w:rPr>
          <w:rFonts w:ascii="Aptos" w:hAnsi="Aptos"/>
          <w:szCs w:val="20"/>
        </w:rPr>
        <w:t xml:space="preserve"> </w:t>
      </w:r>
      <w:r w:rsidR="0020426B">
        <w:rPr>
          <w:rFonts w:ascii="Aptos" w:hAnsi="Aptos"/>
          <w:szCs w:val="20"/>
        </w:rPr>
        <w:t xml:space="preserve">for the following </w:t>
      </w:r>
      <w:r w:rsidR="002D7AD4">
        <w:rPr>
          <w:rFonts w:ascii="Aptos" w:hAnsi="Aptos"/>
          <w:szCs w:val="20"/>
        </w:rPr>
        <w:t>services</w:t>
      </w:r>
      <w:r w:rsidR="001D0CB7" w:rsidRPr="00170D33">
        <w:rPr>
          <w:rFonts w:ascii="Aptos" w:hAnsi="Aptos"/>
          <w:szCs w:val="20"/>
        </w:rPr>
        <w:t>:</w:t>
      </w:r>
    </w:p>
    <w:p w14:paraId="13E898B3" w14:textId="6283B500" w:rsidR="001D0CB7" w:rsidRPr="00170D33" w:rsidRDefault="001D0CB7" w:rsidP="00212181">
      <w:pPr>
        <w:pStyle w:val="ListParagraph"/>
        <w:numPr>
          <w:ilvl w:val="0"/>
          <w:numId w:val="17"/>
        </w:numPr>
        <w:spacing w:after="120" w:line="240" w:lineRule="auto"/>
        <w:jc w:val="both"/>
        <w:rPr>
          <w:rFonts w:ascii="Aptos" w:hAnsi="Aptos"/>
          <w:szCs w:val="20"/>
        </w:rPr>
      </w:pPr>
      <w:r w:rsidRPr="00170D33">
        <w:rPr>
          <w:rFonts w:ascii="Aptos" w:hAnsi="Aptos"/>
          <w:szCs w:val="20"/>
        </w:rPr>
        <w:t>GP Chronic Conditions Management Planning and review services</w:t>
      </w:r>
      <w:r w:rsidRPr="00170D33">
        <w:rPr>
          <w:rFonts w:ascii="Aptos" w:hAnsi="Aptos"/>
          <w:i/>
          <w:iCs/>
          <w:szCs w:val="20"/>
        </w:rPr>
        <w:t xml:space="preserve"> </w:t>
      </w:r>
    </w:p>
    <w:p w14:paraId="73747A08" w14:textId="5E91AA1F" w:rsidR="001D0CB7" w:rsidRPr="00810C2D" w:rsidRDefault="001D0CB7" w:rsidP="00212181">
      <w:pPr>
        <w:pStyle w:val="ListParagraph"/>
        <w:numPr>
          <w:ilvl w:val="0"/>
          <w:numId w:val="17"/>
        </w:numPr>
        <w:spacing w:after="120" w:line="240" w:lineRule="auto"/>
        <w:jc w:val="both"/>
        <w:rPr>
          <w:rFonts w:ascii="Aptos" w:hAnsi="Aptos"/>
          <w:szCs w:val="20"/>
        </w:rPr>
      </w:pPr>
      <w:r w:rsidRPr="00170D33">
        <w:rPr>
          <w:rFonts w:ascii="Aptos" w:hAnsi="Aptos"/>
          <w:szCs w:val="20"/>
        </w:rPr>
        <w:t>Long telehealth appointments</w:t>
      </w:r>
    </w:p>
    <w:p w14:paraId="2D203AD1" w14:textId="77777777" w:rsidR="00BA384F" w:rsidRPr="00817BE2" w:rsidRDefault="00BA384F" w:rsidP="009E79B1">
      <w:pPr>
        <w:spacing w:after="120" w:line="240" w:lineRule="auto"/>
        <w:ind w:left="786"/>
        <w:jc w:val="both"/>
        <w:rPr>
          <w:rFonts w:ascii="Aptos" w:hAnsi="Aptos"/>
          <w:sz w:val="2"/>
          <w:szCs w:val="2"/>
        </w:rPr>
      </w:pPr>
    </w:p>
    <w:p w14:paraId="0E046DE0" w14:textId="77777777" w:rsidR="009E79B1" w:rsidRPr="00817BE2" w:rsidRDefault="009E79B1" w:rsidP="00817BE2">
      <w:pPr>
        <w:spacing w:after="120" w:line="240" w:lineRule="auto"/>
        <w:ind w:left="786"/>
        <w:rPr>
          <w:rFonts w:ascii="Aptos" w:hAnsi="Aptos"/>
          <w:sz w:val="2"/>
          <w:szCs w:val="2"/>
        </w:rPr>
      </w:pPr>
    </w:p>
    <w:p w14:paraId="19187A42" w14:textId="209A94FE" w:rsidR="001D0CB7" w:rsidRPr="00667FA4" w:rsidRDefault="003E1CB0" w:rsidP="00817BE2">
      <w:pPr>
        <w:spacing w:after="120" w:line="240" w:lineRule="auto"/>
        <w:rPr>
          <w:rFonts w:ascii="Aptos" w:eastAsia="Aptos" w:hAnsi="Aptos" w:cs="Times New Roman"/>
          <w:b/>
          <w:bCs/>
          <w:color w:val="293272" w:themeColor="accent1"/>
          <w:kern w:val="2"/>
          <w:sz w:val="24"/>
          <w:szCs w:val="24"/>
          <w14:ligatures w14:val="standardContextual"/>
        </w:rPr>
      </w:pPr>
      <w:r w:rsidRPr="00667FA4">
        <w:rPr>
          <w:rFonts w:ascii="Aptos" w:eastAsia="Aptos" w:hAnsi="Aptos" w:cs="Times New Roman"/>
          <w:b/>
          <w:bCs/>
          <w:color w:val="293272" w:themeColor="accent1"/>
          <w:kern w:val="2"/>
          <w:sz w:val="24"/>
          <w:szCs w:val="24"/>
          <w14:ligatures w14:val="standardContextual"/>
        </w:rPr>
        <w:t xml:space="preserve">Scenario 2 </w:t>
      </w:r>
      <w:r w:rsidR="009D04D0">
        <w:rPr>
          <w:rFonts w:ascii="Aptos" w:eastAsia="Aptos" w:hAnsi="Aptos" w:cs="Times New Roman"/>
          <w:b/>
          <w:bCs/>
          <w:color w:val="293272" w:themeColor="accent1"/>
          <w:kern w:val="2"/>
          <w:sz w:val="24"/>
          <w:szCs w:val="24"/>
          <w14:ligatures w14:val="standardContextual"/>
        </w:rPr>
        <w:t>–</w:t>
      </w:r>
      <w:r w:rsidRPr="00667FA4">
        <w:rPr>
          <w:rFonts w:ascii="Aptos" w:eastAsia="Aptos" w:hAnsi="Aptos" w:cs="Times New Roman"/>
          <w:b/>
          <w:bCs/>
          <w:color w:val="293272" w:themeColor="accent1"/>
          <w:kern w:val="2"/>
          <w:sz w:val="24"/>
          <w:szCs w:val="24"/>
          <w14:ligatures w14:val="standardContextual"/>
        </w:rPr>
        <w:t xml:space="preserve"> </w:t>
      </w:r>
      <w:r w:rsidR="009D04D0">
        <w:rPr>
          <w:rFonts w:ascii="Aptos" w:eastAsia="Aptos" w:hAnsi="Aptos" w:cs="Times New Roman"/>
          <w:b/>
          <w:bCs/>
          <w:color w:val="293272" w:themeColor="accent1"/>
          <w:kern w:val="2"/>
          <w:sz w:val="24"/>
          <w:szCs w:val="24"/>
          <w14:ligatures w14:val="standardContextual"/>
        </w:rPr>
        <w:t xml:space="preserve">If </w:t>
      </w:r>
      <w:r w:rsidR="0033628E">
        <w:rPr>
          <w:rFonts w:ascii="Aptos" w:eastAsia="Aptos" w:hAnsi="Aptos" w:cs="Times New Roman"/>
          <w:b/>
          <w:bCs/>
          <w:color w:val="293272" w:themeColor="accent1"/>
          <w:kern w:val="2"/>
          <w:sz w:val="24"/>
          <w:szCs w:val="24"/>
          <w14:ligatures w14:val="standardContextual"/>
        </w:rPr>
        <w:t>the</w:t>
      </w:r>
      <w:r w:rsidR="001D0CB7" w:rsidRPr="00667FA4">
        <w:rPr>
          <w:rFonts w:ascii="Aptos" w:eastAsia="Aptos" w:hAnsi="Aptos" w:cs="Times New Roman"/>
          <w:b/>
          <w:bCs/>
          <w:color w:val="293272" w:themeColor="accent1"/>
          <w:kern w:val="2"/>
          <w:sz w:val="24"/>
          <w:szCs w:val="24"/>
          <w14:ligatures w14:val="standardContextual"/>
        </w:rPr>
        <w:t xml:space="preserve"> patient </w:t>
      </w:r>
      <w:r w:rsidR="009D04D0">
        <w:rPr>
          <w:rFonts w:ascii="Aptos" w:eastAsia="Aptos" w:hAnsi="Aptos" w:cs="Times New Roman"/>
          <w:b/>
          <w:bCs/>
          <w:color w:val="293272" w:themeColor="accent1"/>
          <w:kern w:val="2"/>
          <w:sz w:val="24"/>
          <w:szCs w:val="24"/>
          <w14:ligatures w14:val="standardContextual"/>
        </w:rPr>
        <w:t>attends</w:t>
      </w:r>
      <w:r w:rsidR="001D0CB7" w:rsidRPr="00667FA4">
        <w:rPr>
          <w:rFonts w:ascii="Aptos" w:eastAsia="Aptos" w:hAnsi="Aptos" w:cs="Times New Roman"/>
          <w:b/>
          <w:bCs/>
          <w:color w:val="293272" w:themeColor="accent1"/>
          <w:kern w:val="2"/>
          <w:sz w:val="24"/>
          <w:szCs w:val="24"/>
          <w14:ligatures w14:val="standardContextual"/>
        </w:rPr>
        <w:t xml:space="preserve"> </w:t>
      </w:r>
      <w:r w:rsidR="003668C3">
        <w:rPr>
          <w:rFonts w:ascii="Aptos" w:eastAsia="Aptos" w:hAnsi="Aptos" w:cs="Times New Roman"/>
          <w:b/>
          <w:bCs/>
          <w:color w:val="293272" w:themeColor="accent1"/>
          <w:kern w:val="2"/>
          <w:sz w:val="24"/>
          <w:szCs w:val="24"/>
          <w14:ligatures w14:val="standardContextual"/>
        </w:rPr>
        <w:t xml:space="preserve">multiple </w:t>
      </w:r>
      <w:r w:rsidR="001D0CB7" w:rsidRPr="00667FA4">
        <w:rPr>
          <w:rFonts w:ascii="Aptos" w:eastAsia="Aptos" w:hAnsi="Aptos" w:cs="Times New Roman"/>
          <w:b/>
          <w:bCs/>
          <w:color w:val="293272" w:themeColor="accent1"/>
          <w:kern w:val="2"/>
          <w:sz w:val="24"/>
          <w:szCs w:val="24"/>
          <w14:ligatures w14:val="standardContextual"/>
        </w:rPr>
        <w:t>practice locations</w:t>
      </w:r>
      <w:r w:rsidR="003668C3">
        <w:rPr>
          <w:rFonts w:ascii="Aptos" w:eastAsia="Aptos" w:hAnsi="Aptos" w:cs="Times New Roman"/>
          <w:b/>
          <w:bCs/>
          <w:color w:val="293272" w:themeColor="accent1"/>
          <w:kern w:val="2"/>
          <w:sz w:val="24"/>
          <w:szCs w:val="24"/>
          <w14:ligatures w14:val="standardContextual"/>
        </w:rPr>
        <w:t xml:space="preserve"> (with same general practice</w:t>
      </w:r>
      <w:r w:rsidR="009E79B1">
        <w:rPr>
          <w:rFonts w:ascii="Aptos" w:eastAsia="Aptos" w:hAnsi="Aptos" w:cs="Times New Roman"/>
          <w:b/>
          <w:bCs/>
          <w:color w:val="293272" w:themeColor="accent1"/>
          <w:kern w:val="2"/>
          <w:sz w:val="24"/>
          <w:szCs w:val="24"/>
          <w14:ligatures w14:val="standardContextual"/>
        </w:rPr>
        <w:t xml:space="preserve"> group</w:t>
      </w:r>
      <w:r w:rsidR="003668C3">
        <w:rPr>
          <w:rFonts w:ascii="Aptos" w:eastAsia="Aptos" w:hAnsi="Aptos" w:cs="Times New Roman"/>
          <w:b/>
          <w:bCs/>
          <w:color w:val="293272" w:themeColor="accent1"/>
          <w:kern w:val="2"/>
          <w:sz w:val="24"/>
          <w:szCs w:val="24"/>
          <w14:ligatures w14:val="standardContextual"/>
        </w:rPr>
        <w:t>)</w:t>
      </w:r>
      <w:r w:rsidR="001D0CB7" w:rsidRPr="00667FA4">
        <w:rPr>
          <w:rFonts w:ascii="Aptos" w:eastAsia="Aptos" w:hAnsi="Aptos" w:cs="Times New Roman"/>
          <w:b/>
          <w:bCs/>
          <w:color w:val="293272" w:themeColor="accent1"/>
          <w:kern w:val="2"/>
          <w:sz w:val="24"/>
          <w:szCs w:val="24"/>
          <w14:ligatures w14:val="standardContextual"/>
        </w:rPr>
        <w:t xml:space="preserve"> or </w:t>
      </w:r>
      <w:r w:rsidR="003668C3">
        <w:rPr>
          <w:rFonts w:ascii="Aptos" w:eastAsia="Aptos" w:hAnsi="Aptos" w:cs="Times New Roman"/>
          <w:b/>
          <w:bCs/>
          <w:color w:val="293272" w:themeColor="accent1"/>
          <w:kern w:val="2"/>
          <w:sz w:val="24"/>
          <w:szCs w:val="24"/>
          <w14:ligatures w14:val="standardContextual"/>
        </w:rPr>
        <w:t xml:space="preserve">multiple general </w:t>
      </w:r>
      <w:r w:rsidR="001D0CB7" w:rsidRPr="00667FA4">
        <w:rPr>
          <w:rFonts w:ascii="Aptos" w:eastAsia="Aptos" w:hAnsi="Aptos" w:cs="Times New Roman"/>
          <w:b/>
          <w:bCs/>
          <w:color w:val="293272" w:themeColor="accent1"/>
          <w:kern w:val="2"/>
          <w:sz w:val="24"/>
          <w:szCs w:val="24"/>
          <w14:ligatures w14:val="standardContextual"/>
        </w:rPr>
        <w:t>practices</w:t>
      </w:r>
      <w:r w:rsidR="00BA384F">
        <w:rPr>
          <w:rFonts w:ascii="Aptos" w:eastAsia="Aptos" w:hAnsi="Aptos" w:cs="Times New Roman"/>
          <w:b/>
          <w:bCs/>
          <w:color w:val="293272" w:themeColor="accent1"/>
          <w:kern w:val="2"/>
          <w:sz w:val="24"/>
          <w:szCs w:val="24"/>
          <w14:ligatures w14:val="standardContextual"/>
        </w:rPr>
        <w:t>…</w:t>
      </w:r>
    </w:p>
    <w:p w14:paraId="422667F8" w14:textId="0A7C256E" w:rsidR="00C746AC" w:rsidRPr="00C746AC" w:rsidRDefault="00EB3030" w:rsidP="00212181">
      <w:pPr>
        <w:pStyle w:val="ListParagraph"/>
        <w:spacing w:after="120" w:line="240" w:lineRule="auto"/>
        <w:ind w:left="284"/>
        <w:jc w:val="both"/>
        <w:rPr>
          <w:rFonts w:ascii="Aptos" w:hAnsi="Aptos"/>
          <w:szCs w:val="20"/>
        </w:rPr>
      </w:pPr>
      <w:r w:rsidRPr="00170D33">
        <w:rPr>
          <w:rFonts w:ascii="Aptos" w:hAnsi="Aptos"/>
          <w:szCs w:val="20"/>
        </w:rPr>
        <w:t xml:space="preserve">If they access </w:t>
      </w:r>
      <w:r w:rsidR="003668C3">
        <w:rPr>
          <w:rFonts w:ascii="Aptos" w:hAnsi="Aptos"/>
          <w:szCs w:val="20"/>
        </w:rPr>
        <w:t>multiple</w:t>
      </w:r>
      <w:r w:rsidRPr="00170D33">
        <w:rPr>
          <w:rFonts w:ascii="Aptos" w:hAnsi="Aptos"/>
          <w:szCs w:val="20"/>
        </w:rPr>
        <w:t xml:space="preserve"> practice locations or </w:t>
      </w:r>
      <w:r w:rsidR="00C746AC">
        <w:rPr>
          <w:rFonts w:ascii="Aptos" w:hAnsi="Aptos"/>
          <w:szCs w:val="20"/>
        </w:rPr>
        <w:t>multiple</w:t>
      </w:r>
      <w:r w:rsidR="003668C3">
        <w:rPr>
          <w:rFonts w:ascii="Aptos" w:hAnsi="Aptos"/>
          <w:szCs w:val="20"/>
        </w:rPr>
        <w:t xml:space="preserve"> general</w:t>
      </w:r>
      <w:r w:rsidRPr="00170D33">
        <w:rPr>
          <w:rFonts w:ascii="Aptos" w:hAnsi="Aptos"/>
          <w:szCs w:val="20"/>
        </w:rPr>
        <w:t xml:space="preserve"> practices</w:t>
      </w:r>
    </w:p>
    <w:p w14:paraId="21306A2D" w14:textId="7A14388A" w:rsidR="00EB3030" w:rsidRPr="00170D33" w:rsidRDefault="00BF1E53" w:rsidP="00212181">
      <w:pPr>
        <w:spacing w:after="120" w:line="240" w:lineRule="auto"/>
        <w:ind w:firstLine="284"/>
        <w:jc w:val="both"/>
        <w:rPr>
          <w:rFonts w:ascii="Aptos" w:hAnsi="Aptos"/>
          <w:szCs w:val="20"/>
        </w:rPr>
      </w:pPr>
      <w:r w:rsidRPr="00170D33">
        <w:rPr>
          <w:rFonts w:ascii="Aptos" w:hAnsi="Aptos"/>
          <w:b/>
          <w:bCs/>
          <w:szCs w:val="20"/>
        </w:rPr>
        <w:t>☐</w:t>
      </w:r>
      <w:r w:rsidRPr="00170D33">
        <w:rPr>
          <w:rFonts w:ascii="Aptos" w:hAnsi="Aptos"/>
          <w:b/>
          <w:bCs/>
          <w:szCs w:val="20"/>
        </w:rPr>
        <w:tab/>
      </w:r>
      <w:r w:rsidR="00EB3030" w:rsidRPr="00170D33">
        <w:rPr>
          <w:rFonts w:ascii="Aptos" w:hAnsi="Aptos"/>
          <w:szCs w:val="20"/>
        </w:rPr>
        <w:t>Check what services the</w:t>
      </w:r>
      <w:r w:rsidR="00CC6A46">
        <w:rPr>
          <w:rFonts w:ascii="Aptos" w:hAnsi="Aptos"/>
          <w:szCs w:val="20"/>
        </w:rPr>
        <w:t xml:space="preserve"> patient usually</w:t>
      </w:r>
      <w:r w:rsidR="00EB3030" w:rsidRPr="00170D33">
        <w:rPr>
          <w:rFonts w:ascii="Aptos" w:hAnsi="Aptos"/>
          <w:szCs w:val="20"/>
        </w:rPr>
        <w:t xml:space="preserve"> </w:t>
      </w:r>
      <w:r w:rsidR="00747DA2" w:rsidRPr="00170D33">
        <w:rPr>
          <w:rFonts w:ascii="Aptos" w:hAnsi="Aptos"/>
          <w:szCs w:val="20"/>
        </w:rPr>
        <w:t>access</w:t>
      </w:r>
      <w:r w:rsidR="00747DA2">
        <w:rPr>
          <w:rFonts w:ascii="Aptos" w:hAnsi="Aptos"/>
          <w:szCs w:val="20"/>
        </w:rPr>
        <w:t>es</w:t>
      </w:r>
      <w:r w:rsidR="00EB3030" w:rsidRPr="00170D33">
        <w:rPr>
          <w:rFonts w:ascii="Aptos" w:hAnsi="Aptos"/>
          <w:szCs w:val="20"/>
        </w:rPr>
        <w:t xml:space="preserve"> from other practice locations or </w:t>
      </w:r>
      <w:r w:rsidR="00C746AC">
        <w:rPr>
          <w:rFonts w:ascii="Aptos" w:hAnsi="Aptos"/>
          <w:szCs w:val="20"/>
        </w:rPr>
        <w:t xml:space="preserve">general </w:t>
      </w:r>
      <w:r w:rsidR="00EB3030" w:rsidRPr="00170D33">
        <w:rPr>
          <w:rFonts w:ascii="Aptos" w:hAnsi="Aptos"/>
          <w:szCs w:val="20"/>
        </w:rPr>
        <w:t xml:space="preserve">practices. </w:t>
      </w:r>
    </w:p>
    <w:p w14:paraId="5966020F" w14:textId="77777777" w:rsidR="00EB3030" w:rsidRPr="00170D33" w:rsidRDefault="00EB3030" w:rsidP="00212181">
      <w:pPr>
        <w:pStyle w:val="ListParagraph"/>
        <w:numPr>
          <w:ilvl w:val="0"/>
          <w:numId w:val="15"/>
        </w:numPr>
        <w:spacing w:after="120" w:line="240" w:lineRule="auto"/>
        <w:ind w:left="1134"/>
        <w:jc w:val="both"/>
        <w:rPr>
          <w:rFonts w:ascii="Aptos" w:hAnsi="Aptos"/>
          <w:szCs w:val="20"/>
        </w:rPr>
      </w:pPr>
      <w:r w:rsidRPr="00170D33">
        <w:rPr>
          <w:rFonts w:ascii="Aptos" w:hAnsi="Aptos"/>
          <w:szCs w:val="20"/>
        </w:rPr>
        <w:t xml:space="preserve">Are any of these services linked to </w:t>
      </w:r>
      <w:hyperlink r:id="rId26" w:history="1">
        <w:r w:rsidRPr="00170D33">
          <w:rPr>
            <w:rStyle w:val="Hyperlink"/>
            <w:rFonts w:ascii="Aptos" w:hAnsi="Aptos"/>
            <w:szCs w:val="20"/>
          </w:rPr>
          <w:t>GP Chronic Conditions Management plans and review services</w:t>
        </w:r>
      </w:hyperlink>
      <w:r w:rsidRPr="00170D33">
        <w:rPr>
          <w:rFonts w:ascii="Aptos" w:hAnsi="Aptos"/>
          <w:szCs w:val="20"/>
        </w:rPr>
        <w:t>?</w:t>
      </w:r>
    </w:p>
    <w:p w14:paraId="3969DEC1" w14:textId="45697A74" w:rsidR="00EB3030" w:rsidRPr="00170D33" w:rsidRDefault="00BF1E53" w:rsidP="00212181">
      <w:pPr>
        <w:spacing w:after="120" w:line="240" w:lineRule="auto"/>
        <w:ind w:left="719" w:hanging="435"/>
        <w:jc w:val="both"/>
        <w:rPr>
          <w:rFonts w:ascii="Aptos" w:hAnsi="Aptos"/>
          <w:szCs w:val="20"/>
        </w:rPr>
      </w:pPr>
      <w:r w:rsidRPr="00170D33">
        <w:rPr>
          <w:rFonts w:ascii="Aptos" w:hAnsi="Aptos"/>
          <w:b/>
          <w:bCs/>
          <w:szCs w:val="20"/>
        </w:rPr>
        <w:t>☐</w:t>
      </w:r>
      <w:r w:rsidRPr="00170D33">
        <w:rPr>
          <w:rFonts w:ascii="Aptos" w:hAnsi="Aptos"/>
          <w:b/>
          <w:bCs/>
          <w:szCs w:val="20"/>
        </w:rPr>
        <w:tab/>
      </w:r>
      <w:r w:rsidR="00EB3030" w:rsidRPr="00170D33">
        <w:rPr>
          <w:rFonts w:ascii="Aptos" w:hAnsi="Aptos"/>
          <w:szCs w:val="20"/>
        </w:rPr>
        <w:t>Explain that if the</w:t>
      </w:r>
      <w:r w:rsidR="00CC6A46">
        <w:rPr>
          <w:rFonts w:ascii="Aptos" w:hAnsi="Aptos"/>
          <w:szCs w:val="20"/>
        </w:rPr>
        <w:t xml:space="preserve"> patient </w:t>
      </w:r>
      <w:r w:rsidR="00EB3030" w:rsidRPr="00170D33">
        <w:rPr>
          <w:rFonts w:ascii="Aptos" w:hAnsi="Aptos"/>
          <w:szCs w:val="20"/>
        </w:rPr>
        <w:t>register</w:t>
      </w:r>
      <w:r w:rsidR="00CC6A46">
        <w:rPr>
          <w:rFonts w:ascii="Aptos" w:hAnsi="Aptos"/>
          <w:szCs w:val="20"/>
        </w:rPr>
        <w:t>s</w:t>
      </w:r>
      <w:r w:rsidR="00EB3030" w:rsidRPr="00170D33">
        <w:rPr>
          <w:rFonts w:ascii="Aptos" w:hAnsi="Aptos"/>
          <w:szCs w:val="20"/>
        </w:rPr>
        <w:t xml:space="preserve"> with MyMedicare they can only access GP Chronic Conditions Management plans and review services from their MyMedicare registered practice location. </w:t>
      </w:r>
    </w:p>
    <w:p w14:paraId="2D935BC5" w14:textId="3D009EC2" w:rsidR="00EB3030" w:rsidRPr="00170D33" w:rsidRDefault="00EB3030" w:rsidP="00212181">
      <w:pPr>
        <w:pStyle w:val="ListParagraph"/>
        <w:numPr>
          <w:ilvl w:val="0"/>
          <w:numId w:val="14"/>
        </w:numPr>
        <w:spacing w:after="120" w:line="240" w:lineRule="auto"/>
        <w:ind w:left="1134"/>
        <w:jc w:val="both"/>
        <w:rPr>
          <w:rFonts w:ascii="Aptos" w:hAnsi="Aptos"/>
          <w:szCs w:val="20"/>
        </w:rPr>
      </w:pPr>
      <w:r w:rsidRPr="00170D33">
        <w:rPr>
          <w:rFonts w:ascii="Aptos" w:hAnsi="Aptos"/>
          <w:szCs w:val="20"/>
        </w:rPr>
        <w:t>They cannot access these services from another practice location, even if their preferred GP works at</w:t>
      </w:r>
      <w:r w:rsidR="00434A12">
        <w:rPr>
          <w:rFonts w:ascii="Aptos" w:hAnsi="Aptos"/>
          <w:szCs w:val="20"/>
        </w:rPr>
        <w:t xml:space="preserve"> </w:t>
      </w:r>
      <w:r w:rsidR="001041A5">
        <w:rPr>
          <w:rFonts w:ascii="Aptos" w:hAnsi="Aptos"/>
          <w:szCs w:val="20"/>
        </w:rPr>
        <w:t>an</w:t>
      </w:r>
      <w:r w:rsidR="00D527FE">
        <w:rPr>
          <w:rFonts w:ascii="Aptos" w:hAnsi="Aptos"/>
          <w:szCs w:val="20"/>
        </w:rPr>
        <w:t>o</w:t>
      </w:r>
      <w:r w:rsidRPr="00170D33">
        <w:rPr>
          <w:rFonts w:ascii="Aptos" w:hAnsi="Aptos"/>
          <w:szCs w:val="20"/>
        </w:rPr>
        <w:t>ther location</w:t>
      </w:r>
      <w:r w:rsidR="009A68D4">
        <w:rPr>
          <w:rFonts w:ascii="Aptos" w:hAnsi="Aptos"/>
          <w:szCs w:val="20"/>
        </w:rPr>
        <w:t xml:space="preserve"> within the same general practice</w:t>
      </w:r>
      <w:r w:rsidR="00D527FE">
        <w:rPr>
          <w:rFonts w:ascii="Aptos" w:hAnsi="Aptos"/>
          <w:szCs w:val="20"/>
        </w:rPr>
        <w:t xml:space="preserve"> group</w:t>
      </w:r>
      <w:r w:rsidRPr="00170D33">
        <w:rPr>
          <w:rFonts w:ascii="Aptos" w:hAnsi="Aptos"/>
          <w:szCs w:val="20"/>
        </w:rPr>
        <w:t xml:space="preserve">. </w:t>
      </w:r>
    </w:p>
    <w:p w14:paraId="09345D40" w14:textId="1742BF3F" w:rsidR="00EB3030" w:rsidRPr="00170D33" w:rsidRDefault="00EB3030" w:rsidP="00212181">
      <w:pPr>
        <w:pStyle w:val="ListParagraph"/>
        <w:numPr>
          <w:ilvl w:val="0"/>
          <w:numId w:val="14"/>
        </w:numPr>
        <w:spacing w:after="120" w:line="240" w:lineRule="auto"/>
        <w:ind w:left="1134"/>
        <w:jc w:val="both"/>
        <w:rPr>
          <w:rFonts w:ascii="Aptos" w:hAnsi="Aptos"/>
          <w:szCs w:val="20"/>
        </w:rPr>
      </w:pPr>
      <w:r w:rsidRPr="00170D33">
        <w:rPr>
          <w:rFonts w:ascii="Aptos" w:hAnsi="Aptos"/>
          <w:szCs w:val="20"/>
        </w:rPr>
        <w:t xml:space="preserve">The </w:t>
      </w:r>
      <w:r w:rsidRPr="001C2E4D">
        <w:rPr>
          <w:rFonts w:ascii="Aptos" w:hAnsi="Aptos"/>
          <w:b/>
          <w:szCs w:val="20"/>
        </w:rPr>
        <w:t>exception to this is</w:t>
      </w:r>
      <w:bookmarkStart w:id="1" w:name="_Hlk210136595"/>
      <w:r w:rsidRPr="001C2E4D">
        <w:rPr>
          <w:rFonts w:ascii="Aptos" w:hAnsi="Aptos"/>
          <w:b/>
          <w:szCs w:val="20"/>
        </w:rPr>
        <w:t xml:space="preserve"> </w:t>
      </w:r>
      <w:hyperlink r:id="rId27" w:history="1">
        <w:r w:rsidRPr="007A2F31">
          <w:rPr>
            <w:rStyle w:val="Hyperlink"/>
            <w:rFonts w:ascii="Aptos" w:hAnsi="Aptos"/>
            <w:b/>
            <w:bCs/>
            <w:szCs w:val="20"/>
          </w:rPr>
          <w:t>AC</w:t>
        </w:r>
        <w:r w:rsidR="001C2E4D" w:rsidRPr="007A2F31">
          <w:rPr>
            <w:rStyle w:val="Hyperlink"/>
            <w:rFonts w:ascii="Aptos" w:hAnsi="Aptos"/>
            <w:b/>
            <w:bCs/>
            <w:szCs w:val="20"/>
          </w:rPr>
          <w:t>CHO</w:t>
        </w:r>
        <w:r w:rsidRPr="007A2F31">
          <w:rPr>
            <w:rStyle w:val="Hyperlink"/>
            <w:rFonts w:ascii="Aptos" w:hAnsi="Aptos"/>
            <w:b/>
            <w:bCs/>
            <w:szCs w:val="20"/>
          </w:rPr>
          <w:t>/AMS services that operate as a ‘hub and spoke’ model</w:t>
        </w:r>
      </w:hyperlink>
      <w:bookmarkEnd w:id="1"/>
      <w:r w:rsidRPr="001C2E4D">
        <w:rPr>
          <w:rFonts w:ascii="Aptos" w:hAnsi="Aptos"/>
          <w:b/>
          <w:bCs/>
          <w:szCs w:val="20"/>
        </w:rPr>
        <w:t>.</w:t>
      </w:r>
      <w:r w:rsidRPr="001C2E4D">
        <w:rPr>
          <w:rFonts w:ascii="Aptos" w:hAnsi="Aptos"/>
          <w:b/>
          <w:szCs w:val="20"/>
        </w:rPr>
        <w:t xml:space="preserve"> Patients can access the hub and all spokes if they register at the hub.</w:t>
      </w:r>
    </w:p>
    <w:p w14:paraId="38EA1B12" w14:textId="5241CE37" w:rsidR="00EB3030" w:rsidRPr="00170D33" w:rsidRDefault="00BF1E53" w:rsidP="00212181">
      <w:pPr>
        <w:spacing w:after="120" w:line="240" w:lineRule="auto"/>
        <w:ind w:left="709" w:hanging="360"/>
        <w:jc w:val="both"/>
        <w:rPr>
          <w:rFonts w:ascii="Aptos" w:hAnsi="Aptos"/>
          <w:szCs w:val="20"/>
        </w:rPr>
      </w:pPr>
      <w:r w:rsidRPr="00170D33">
        <w:rPr>
          <w:rFonts w:ascii="Aptos" w:hAnsi="Aptos"/>
          <w:b/>
          <w:bCs/>
          <w:szCs w:val="20"/>
        </w:rPr>
        <w:t>☐</w:t>
      </w:r>
      <w:r w:rsidRPr="00170D33">
        <w:rPr>
          <w:rFonts w:ascii="Aptos" w:hAnsi="Aptos"/>
          <w:b/>
          <w:bCs/>
          <w:szCs w:val="20"/>
        </w:rPr>
        <w:tab/>
      </w:r>
      <w:r w:rsidR="00EB3030" w:rsidRPr="00170D33">
        <w:rPr>
          <w:rFonts w:ascii="Aptos" w:hAnsi="Aptos"/>
          <w:szCs w:val="20"/>
        </w:rPr>
        <w:t>MyMedicare registration may not be preferable for patients that like to access their preferred GP for Chronic Conditions Management planning and review services from more than one practice location within the same practice group (where patient records are shared).</w:t>
      </w:r>
    </w:p>
    <w:p w14:paraId="081D4B92" w14:textId="4FA1D264" w:rsidR="00EB3030" w:rsidRPr="00170D33" w:rsidRDefault="00BF1E53" w:rsidP="00212181">
      <w:pPr>
        <w:pStyle w:val="ListParagraph"/>
        <w:spacing w:after="120" w:line="240" w:lineRule="auto"/>
        <w:ind w:left="709" w:hanging="360"/>
        <w:jc w:val="both"/>
        <w:rPr>
          <w:rFonts w:ascii="Aptos" w:hAnsi="Aptos"/>
          <w:szCs w:val="20"/>
        </w:rPr>
      </w:pPr>
      <w:r w:rsidRPr="00170D33">
        <w:rPr>
          <w:rFonts w:ascii="Aptos" w:hAnsi="Aptos"/>
          <w:b/>
          <w:bCs/>
          <w:szCs w:val="20"/>
        </w:rPr>
        <w:t>☐</w:t>
      </w:r>
      <w:r w:rsidRPr="00170D33">
        <w:rPr>
          <w:rFonts w:ascii="Aptos" w:hAnsi="Aptos"/>
          <w:b/>
          <w:bCs/>
          <w:szCs w:val="20"/>
        </w:rPr>
        <w:tab/>
      </w:r>
      <w:r w:rsidR="00EB3030" w:rsidRPr="00170D33">
        <w:rPr>
          <w:rFonts w:ascii="Aptos" w:hAnsi="Aptos"/>
          <w:szCs w:val="20"/>
        </w:rPr>
        <w:t xml:space="preserve">If the patient is planning to visit multiple </w:t>
      </w:r>
      <w:r w:rsidR="00080839">
        <w:rPr>
          <w:rFonts w:ascii="Aptos" w:hAnsi="Aptos"/>
          <w:szCs w:val="20"/>
        </w:rPr>
        <w:t xml:space="preserve">general </w:t>
      </w:r>
      <w:r w:rsidR="00EB3030" w:rsidRPr="00170D33">
        <w:rPr>
          <w:rFonts w:ascii="Aptos" w:hAnsi="Aptos"/>
          <w:szCs w:val="20"/>
        </w:rPr>
        <w:t>practices (not part of the same practice group with shared records) for Chronic Conditions Management planning and review services, they cannot continue to do this if they are registered with MyMedicare.</w:t>
      </w:r>
    </w:p>
    <w:p w14:paraId="66E8E532" w14:textId="77777777" w:rsidR="00EB3030" w:rsidRPr="00170D33" w:rsidRDefault="00EB3030" w:rsidP="00212181">
      <w:pPr>
        <w:pStyle w:val="ListParagraph"/>
        <w:numPr>
          <w:ilvl w:val="0"/>
          <w:numId w:val="13"/>
        </w:numPr>
        <w:spacing w:after="120" w:line="240" w:lineRule="auto"/>
        <w:ind w:left="1134"/>
        <w:jc w:val="both"/>
        <w:rPr>
          <w:rFonts w:ascii="Aptos" w:hAnsi="Aptos"/>
          <w:szCs w:val="20"/>
        </w:rPr>
      </w:pPr>
      <w:r w:rsidRPr="00170D33">
        <w:rPr>
          <w:rFonts w:ascii="Aptos" w:hAnsi="Aptos"/>
          <w:szCs w:val="20"/>
        </w:rPr>
        <w:t xml:space="preserve">Visiting multiple GPs in different practices is less likely to support the best health outcomes for their chronic condition than familiar GPs at a single practice </w:t>
      </w:r>
    </w:p>
    <w:p w14:paraId="0FADA21B" w14:textId="5EEC25E8" w:rsidR="00EB3030" w:rsidRPr="00170D33" w:rsidRDefault="00EB3030" w:rsidP="00212181">
      <w:pPr>
        <w:pStyle w:val="ListParagraph"/>
        <w:numPr>
          <w:ilvl w:val="0"/>
          <w:numId w:val="13"/>
        </w:numPr>
        <w:spacing w:after="120" w:line="240" w:lineRule="auto"/>
        <w:ind w:left="1134"/>
        <w:jc w:val="both"/>
        <w:rPr>
          <w:rFonts w:ascii="Aptos" w:hAnsi="Aptos"/>
          <w:szCs w:val="20"/>
        </w:rPr>
      </w:pPr>
      <w:r w:rsidRPr="00170D33">
        <w:rPr>
          <w:rFonts w:ascii="Aptos" w:hAnsi="Aptos"/>
          <w:szCs w:val="20"/>
        </w:rPr>
        <w:t>Explain to th</w:t>
      </w:r>
      <w:r w:rsidR="00085106">
        <w:rPr>
          <w:rFonts w:ascii="Aptos" w:hAnsi="Aptos"/>
          <w:szCs w:val="20"/>
        </w:rPr>
        <w:t>e patient</w:t>
      </w:r>
      <w:r w:rsidRPr="00170D33">
        <w:rPr>
          <w:rFonts w:ascii="Aptos" w:hAnsi="Aptos"/>
          <w:szCs w:val="20"/>
        </w:rPr>
        <w:t xml:space="preserve"> that a GP who is familiar with </w:t>
      </w:r>
      <w:r w:rsidR="00085106">
        <w:rPr>
          <w:rFonts w:ascii="Aptos" w:hAnsi="Aptos"/>
          <w:szCs w:val="20"/>
        </w:rPr>
        <w:t>their</w:t>
      </w:r>
      <w:r w:rsidRPr="00170D33">
        <w:rPr>
          <w:rFonts w:ascii="Aptos" w:hAnsi="Aptos"/>
          <w:szCs w:val="20"/>
        </w:rPr>
        <w:t xml:space="preserve"> health needs and preferences and has access to all their health information (retained in a single practice) is </w:t>
      </w:r>
      <w:r w:rsidR="00085106">
        <w:rPr>
          <w:rFonts w:ascii="Aptos" w:hAnsi="Aptos"/>
          <w:szCs w:val="20"/>
        </w:rPr>
        <w:t xml:space="preserve">more </w:t>
      </w:r>
      <w:r w:rsidRPr="00170D33">
        <w:rPr>
          <w:rFonts w:ascii="Aptos" w:hAnsi="Aptos"/>
          <w:szCs w:val="20"/>
        </w:rPr>
        <w:t>able to make better informed decisions about their health care.</w:t>
      </w:r>
    </w:p>
    <w:p w14:paraId="1330B1B7" w14:textId="7035C75D" w:rsidR="00EB3030" w:rsidRPr="00170D33" w:rsidRDefault="00BF1E53" w:rsidP="00212181">
      <w:pPr>
        <w:spacing w:after="120" w:line="240" w:lineRule="auto"/>
        <w:ind w:left="720" w:hanging="360"/>
        <w:jc w:val="both"/>
        <w:rPr>
          <w:rFonts w:ascii="Aptos" w:hAnsi="Aptos"/>
          <w:szCs w:val="20"/>
        </w:rPr>
      </w:pPr>
      <w:r w:rsidRPr="00170D33">
        <w:rPr>
          <w:rFonts w:ascii="Aptos" w:hAnsi="Aptos"/>
          <w:b/>
          <w:bCs/>
          <w:szCs w:val="20"/>
        </w:rPr>
        <w:t>☐</w:t>
      </w:r>
      <w:r w:rsidRPr="00170D33">
        <w:rPr>
          <w:rFonts w:ascii="Aptos" w:hAnsi="Aptos"/>
          <w:b/>
          <w:bCs/>
          <w:szCs w:val="20"/>
        </w:rPr>
        <w:tab/>
      </w:r>
      <w:r w:rsidR="00C46CA8" w:rsidRPr="00C46CA8">
        <w:rPr>
          <w:rFonts w:ascii="Aptos" w:hAnsi="Aptos"/>
          <w:szCs w:val="20"/>
        </w:rPr>
        <w:t>It is suggested to</w:t>
      </w:r>
      <w:r w:rsidR="00C46CA8">
        <w:rPr>
          <w:rFonts w:ascii="Aptos" w:hAnsi="Aptos"/>
          <w:b/>
          <w:bCs/>
          <w:szCs w:val="20"/>
        </w:rPr>
        <w:t xml:space="preserve"> </w:t>
      </w:r>
      <w:r w:rsidR="00C46CA8">
        <w:rPr>
          <w:rFonts w:ascii="Aptos" w:hAnsi="Aptos"/>
          <w:szCs w:val="20"/>
        </w:rPr>
        <w:t>i</w:t>
      </w:r>
      <w:r w:rsidR="00EB3030" w:rsidRPr="00170D33">
        <w:rPr>
          <w:rFonts w:ascii="Aptos" w:hAnsi="Aptos"/>
          <w:szCs w:val="20"/>
        </w:rPr>
        <w:t xml:space="preserve">nform </w:t>
      </w:r>
      <w:r w:rsidR="00C46CA8">
        <w:rPr>
          <w:rFonts w:ascii="Aptos" w:hAnsi="Aptos"/>
          <w:szCs w:val="20"/>
        </w:rPr>
        <w:t>patients</w:t>
      </w:r>
      <w:r w:rsidR="00EB3030" w:rsidRPr="00170D33">
        <w:rPr>
          <w:rFonts w:ascii="Aptos" w:hAnsi="Aptos"/>
          <w:szCs w:val="20"/>
        </w:rPr>
        <w:t xml:space="preserve"> that they can </w:t>
      </w:r>
      <w:hyperlink r:id="rId28" w:anchor=":~:text=Withdrawing%20your%20registration,-You%20can%20choose&amp;text=If%20you%20want%20to%20withdraw,withdraw%20your%20registration%20from%20MyMedicare" w:history="1">
        <w:r w:rsidR="004D0DFA" w:rsidRPr="004D0DFA">
          <w:rPr>
            <w:rStyle w:val="Hyperlink"/>
            <w:rFonts w:ascii="Aptos" w:hAnsi="Aptos"/>
            <w:b/>
            <w:bCs/>
            <w:szCs w:val="20"/>
          </w:rPr>
          <w:t>withdraw their registration</w:t>
        </w:r>
      </w:hyperlink>
      <w:r w:rsidR="004D0DFA" w:rsidRPr="004D0DFA">
        <w:rPr>
          <w:rFonts w:ascii="Aptos" w:hAnsi="Aptos"/>
          <w:b/>
          <w:bCs/>
          <w:szCs w:val="20"/>
        </w:rPr>
        <w:t xml:space="preserve"> </w:t>
      </w:r>
      <w:r w:rsidR="00EB3030" w:rsidRPr="00170D33">
        <w:rPr>
          <w:rFonts w:ascii="Aptos" w:hAnsi="Aptos"/>
          <w:szCs w:val="20"/>
        </w:rPr>
        <w:t xml:space="preserve">with MyMedicare or change to another </w:t>
      </w:r>
      <w:r w:rsidR="0095427D">
        <w:rPr>
          <w:rFonts w:ascii="Aptos" w:hAnsi="Aptos"/>
          <w:szCs w:val="20"/>
        </w:rPr>
        <w:t xml:space="preserve">general </w:t>
      </w:r>
      <w:r w:rsidR="00EB3030" w:rsidRPr="00170D33">
        <w:rPr>
          <w:rFonts w:ascii="Aptos" w:hAnsi="Aptos"/>
          <w:szCs w:val="20"/>
        </w:rPr>
        <w:t>practice (or practice location) at any time.</w:t>
      </w:r>
    </w:p>
    <w:p w14:paraId="4DE134E1" w14:textId="77777777" w:rsidR="00BF1E53" w:rsidRPr="00085106" w:rsidRDefault="00BF1E53" w:rsidP="00212181">
      <w:pPr>
        <w:spacing w:after="120" w:line="240" w:lineRule="auto"/>
        <w:jc w:val="both"/>
        <w:rPr>
          <w:rFonts w:ascii="Aptos" w:hAnsi="Aptos"/>
          <w:sz w:val="2"/>
          <w:szCs w:val="2"/>
        </w:rPr>
      </w:pPr>
    </w:p>
    <w:p w14:paraId="598006F2" w14:textId="225F5AC3" w:rsidR="009B1A9B" w:rsidRPr="00170D33" w:rsidRDefault="00BF1E53" w:rsidP="00212181">
      <w:pPr>
        <w:spacing w:after="120" w:line="240" w:lineRule="auto"/>
        <w:ind w:left="720" w:hanging="360"/>
        <w:jc w:val="both"/>
        <w:rPr>
          <w:rFonts w:ascii="Aptos" w:hAnsi="Aptos"/>
          <w:szCs w:val="20"/>
        </w:rPr>
      </w:pPr>
      <w:r w:rsidRPr="00170D33">
        <w:rPr>
          <w:rFonts w:ascii="Aptos" w:hAnsi="Aptos"/>
          <w:b/>
          <w:bCs/>
          <w:szCs w:val="20"/>
        </w:rPr>
        <w:t>☐</w:t>
      </w:r>
      <w:r w:rsidRPr="00170D33">
        <w:rPr>
          <w:rFonts w:ascii="Aptos" w:hAnsi="Aptos"/>
          <w:b/>
          <w:bCs/>
          <w:szCs w:val="20"/>
        </w:rPr>
        <w:tab/>
      </w:r>
      <w:r w:rsidR="00085106">
        <w:rPr>
          <w:rFonts w:ascii="Aptos" w:hAnsi="Aptos"/>
          <w:szCs w:val="20"/>
        </w:rPr>
        <w:t>I</w:t>
      </w:r>
      <w:r w:rsidR="004D0DFA" w:rsidRPr="004D0DFA">
        <w:rPr>
          <w:rFonts w:ascii="Aptos" w:hAnsi="Aptos"/>
          <w:szCs w:val="20"/>
        </w:rPr>
        <w:t xml:space="preserve">nform patients </w:t>
      </w:r>
      <w:r w:rsidR="0095427D">
        <w:rPr>
          <w:rFonts w:ascii="Aptos" w:hAnsi="Aptos"/>
          <w:szCs w:val="20"/>
        </w:rPr>
        <w:t xml:space="preserve">that it is possible to </w:t>
      </w:r>
      <w:r w:rsidR="00EB3030" w:rsidRPr="00170D33">
        <w:rPr>
          <w:rFonts w:ascii="Aptos" w:hAnsi="Aptos"/>
          <w:szCs w:val="20"/>
        </w:rPr>
        <w:t xml:space="preserve">access Chronic Conditions Management planning and review services without registering with MyMedicare </w:t>
      </w:r>
      <w:r w:rsidR="0095427D">
        <w:rPr>
          <w:rFonts w:ascii="Aptos" w:hAnsi="Aptos"/>
          <w:szCs w:val="20"/>
        </w:rPr>
        <w:t xml:space="preserve">BUT </w:t>
      </w:r>
      <w:r w:rsidR="002403C9">
        <w:rPr>
          <w:rFonts w:ascii="Aptos" w:hAnsi="Aptos"/>
          <w:szCs w:val="20"/>
        </w:rPr>
        <w:t>they must be registered with MyMedicare to be able to</w:t>
      </w:r>
      <w:r w:rsidR="00EB3030" w:rsidRPr="00170D33">
        <w:rPr>
          <w:rFonts w:ascii="Aptos" w:hAnsi="Aptos"/>
          <w:szCs w:val="20"/>
        </w:rPr>
        <w:t xml:space="preserve"> access longer tele</w:t>
      </w:r>
      <w:r w:rsidR="009523A8">
        <w:rPr>
          <w:rFonts w:ascii="Aptos" w:hAnsi="Aptos"/>
          <w:szCs w:val="20"/>
        </w:rPr>
        <w:t>phone</w:t>
      </w:r>
      <w:r w:rsidR="00EB3030" w:rsidRPr="00170D33">
        <w:rPr>
          <w:rFonts w:ascii="Aptos" w:hAnsi="Aptos"/>
          <w:szCs w:val="20"/>
        </w:rPr>
        <w:t xml:space="preserve"> services</w:t>
      </w:r>
      <w:r w:rsidR="006E36B6">
        <w:rPr>
          <w:rFonts w:ascii="Aptos" w:hAnsi="Aptos"/>
          <w:szCs w:val="20"/>
        </w:rPr>
        <w:t xml:space="preserve"> (over </w:t>
      </w:r>
      <w:r w:rsidR="003145E5">
        <w:rPr>
          <w:rFonts w:ascii="Aptos" w:hAnsi="Aptos"/>
          <w:szCs w:val="20"/>
        </w:rPr>
        <w:t>20 minutes)</w:t>
      </w:r>
      <w:r w:rsidR="00EB3030" w:rsidRPr="00170D33">
        <w:rPr>
          <w:rFonts w:ascii="Aptos" w:hAnsi="Aptos"/>
          <w:szCs w:val="20"/>
        </w:rPr>
        <w:t>.</w:t>
      </w:r>
    </w:p>
    <w:sectPr w:rsidR="009B1A9B" w:rsidRPr="00170D33" w:rsidSect="00DA2BAE">
      <w:headerReference w:type="first" r:id="rId29"/>
      <w:footerReference w:type="first" r:id="rId30"/>
      <w:pgSz w:w="11906" w:h="16838"/>
      <w:pgMar w:top="107" w:right="707" w:bottom="426" w:left="709" w:header="622"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E8B0E" w14:textId="77777777" w:rsidR="009554E7" w:rsidRDefault="009554E7" w:rsidP="0065480B">
      <w:pPr>
        <w:spacing w:after="0" w:line="240" w:lineRule="auto"/>
      </w:pPr>
      <w:r>
        <w:separator/>
      </w:r>
    </w:p>
  </w:endnote>
  <w:endnote w:type="continuationSeparator" w:id="0">
    <w:p w14:paraId="75A80FE3" w14:textId="77777777" w:rsidR="009554E7" w:rsidRDefault="009554E7" w:rsidP="0065480B">
      <w:pPr>
        <w:spacing w:after="0" w:line="240" w:lineRule="auto"/>
      </w:pPr>
      <w:r>
        <w:continuationSeparator/>
      </w:r>
    </w:p>
  </w:endnote>
  <w:endnote w:type="continuationNotice" w:id="1">
    <w:p w14:paraId="16DA5AE9" w14:textId="77777777" w:rsidR="009554E7" w:rsidRDefault="009554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Helvetica LT Std Light">
    <w:altName w:val="Arial"/>
    <w:panose1 w:val="00000000000000000000"/>
    <w:charset w:val="00"/>
    <w:family w:val="swiss"/>
    <w:notTrueType/>
    <w:pitch w:val="variable"/>
    <w:sig w:usb0="800000AF" w:usb1="4000204A"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7F3B" w14:textId="384139F5" w:rsidR="007B01B9" w:rsidRDefault="002F1F10" w:rsidP="009B1A9B">
    <w:pPr>
      <w:pStyle w:val="Footer"/>
      <w:rPr>
        <w:sz w:val="15"/>
        <w:szCs w:val="15"/>
      </w:rPr>
    </w:pPr>
    <w:r>
      <w:rPr>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05B95" w14:textId="77777777" w:rsidR="009554E7" w:rsidRDefault="009554E7" w:rsidP="0065480B">
      <w:pPr>
        <w:spacing w:after="0" w:line="240" w:lineRule="auto"/>
      </w:pPr>
      <w:r>
        <w:separator/>
      </w:r>
    </w:p>
  </w:footnote>
  <w:footnote w:type="continuationSeparator" w:id="0">
    <w:p w14:paraId="0E558DE8" w14:textId="77777777" w:rsidR="009554E7" w:rsidRDefault="009554E7" w:rsidP="0065480B">
      <w:pPr>
        <w:spacing w:after="0" w:line="240" w:lineRule="auto"/>
      </w:pPr>
      <w:r>
        <w:continuationSeparator/>
      </w:r>
    </w:p>
  </w:footnote>
  <w:footnote w:type="continuationNotice" w:id="1">
    <w:p w14:paraId="2498F12D" w14:textId="77777777" w:rsidR="009554E7" w:rsidRDefault="009554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5F1E" w14:textId="67140EA2" w:rsidR="004E559A" w:rsidRDefault="00E44F1C">
    <w:pPr>
      <w:pStyle w:val="Header"/>
    </w:pPr>
    <w:r>
      <w:rPr>
        <w:noProof/>
      </w:rPr>
      <w:drawing>
        <wp:anchor distT="0" distB="0" distL="114300" distR="114300" simplePos="0" relativeHeight="251658240" behindDoc="1" locked="0" layoutInCell="1" allowOverlap="1" wp14:anchorId="078240CF" wp14:editId="196709E8">
          <wp:simplePos x="0" y="0"/>
          <wp:positionH relativeFrom="page">
            <wp:posOffset>1695450</wp:posOffset>
          </wp:positionH>
          <wp:positionV relativeFrom="paragraph">
            <wp:posOffset>-452120</wp:posOffset>
          </wp:positionV>
          <wp:extent cx="5872480" cy="996950"/>
          <wp:effectExtent l="0" t="0" r="0" b="0"/>
          <wp:wrapTight wrapText="bothSides">
            <wp:wrapPolygon edited="0">
              <wp:start x="0" y="0"/>
              <wp:lineTo x="0" y="21050"/>
              <wp:lineTo x="21511" y="21050"/>
              <wp:lineTo x="21511" y="0"/>
              <wp:lineTo x="0" y="0"/>
            </wp:wrapPolygon>
          </wp:wrapTight>
          <wp:docPr id="123975378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551126"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872480" cy="9969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12C05C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CF4CD3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074028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686F810"/>
    <w:lvl w:ilvl="0">
      <w:start w:val="1"/>
      <w:numFmt w:val="bullet"/>
      <w:pStyle w:val="ListBullet4"/>
      <w:lvlText w:val="&gt;"/>
      <w:lvlJc w:val="left"/>
      <w:pPr>
        <w:ind w:left="1209" w:hanging="360"/>
      </w:pPr>
      <w:rPr>
        <w:rFonts w:ascii="Arial" w:hAnsi="Arial" w:hint="default"/>
      </w:rPr>
    </w:lvl>
  </w:abstractNum>
  <w:abstractNum w:abstractNumId="4" w15:restartNumberingAfterBreak="0">
    <w:nsid w:val="FFFFFF82"/>
    <w:multiLevelType w:val="singleLevel"/>
    <w:tmpl w:val="9BB04B9C"/>
    <w:lvl w:ilvl="0">
      <w:start w:val="1"/>
      <w:numFmt w:val="bullet"/>
      <w:pStyle w:val="ListBullet3"/>
      <w:lvlText w:val=""/>
      <w:lvlJc w:val="left"/>
      <w:pPr>
        <w:ind w:left="926" w:hanging="360"/>
      </w:pPr>
      <w:rPr>
        <w:rFonts w:ascii="Wingdings" w:hAnsi="Wingdings" w:hint="default"/>
      </w:rPr>
    </w:lvl>
  </w:abstractNum>
  <w:abstractNum w:abstractNumId="5" w15:restartNumberingAfterBreak="0">
    <w:nsid w:val="FFFFFF83"/>
    <w:multiLevelType w:val="singleLevel"/>
    <w:tmpl w:val="ACFCCECA"/>
    <w:lvl w:ilvl="0">
      <w:start w:val="1"/>
      <w:numFmt w:val="bullet"/>
      <w:pStyle w:val="ListBullet2"/>
      <w:lvlText w:val="o"/>
      <w:lvlJc w:val="left"/>
      <w:pPr>
        <w:ind w:left="644" w:hanging="360"/>
      </w:pPr>
      <w:rPr>
        <w:rFonts w:ascii="Courier New" w:hAnsi="Courier New" w:cs="Courier New" w:hint="default"/>
      </w:rPr>
    </w:lvl>
  </w:abstractNum>
  <w:abstractNum w:abstractNumId="6" w15:restartNumberingAfterBreak="0">
    <w:nsid w:val="FFFFFF88"/>
    <w:multiLevelType w:val="singleLevel"/>
    <w:tmpl w:val="FC26ECB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008264E"/>
    <w:lvl w:ilvl="0">
      <w:start w:val="1"/>
      <w:numFmt w:val="bullet"/>
      <w:pStyle w:val="ListBullet"/>
      <w:lvlText w:val=""/>
      <w:lvlJc w:val="left"/>
      <w:pPr>
        <w:ind w:left="360" w:hanging="360"/>
      </w:pPr>
      <w:rPr>
        <w:rFonts w:ascii="Symbol" w:hAnsi="Symbol" w:hint="default"/>
      </w:rPr>
    </w:lvl>
  </w:abstractNum>
  <w:abstractNum w:abstractNumId="8" w15:restartNumberingAfterBreak="0">
    <w:nsid w:val="05344982"/>
    <w:multiLevelType w:val="hybridMultilevel"/>
    <w:tmpl w:val="77E65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A7429CA"/>
    <w:multiLevelType w:val="hybridMultilevel"/>
    <w:tmpl w:val="B6602AB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97675A"/>
    <w:multiLevelType w:val="hybridMultilevel"/>
    <w:tmpl w:val="10D86E70"/>
    <w:lvl w:ilvl="0" w:tplc="0C09000D">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1" w15:restartNumberingAfterBreak="0">
    <w:nsid w:val="0B3C418A"/>
    <w:multiLevelType w:val="multilevel"/>
    <w:tmpl w:val="DA84B604"/>
    <w:lvl w:ilvl="0">
      <w:start w:val="1"/>
      <w:numFmt w:val="bullet"/>
      <w:lvlText w:val="☑"/>
      <w:lvlJc w:val="left"/>
      <w:pPr>
        <w:ind w:left="720" w:hanging="360"/>
      </w:pPr>
      <w:rPr>
        <w:rFonts w:ascii="MS Gothic" w:eastAsia="MS Gothic" w:hAnsi="MS Gothic" w:hint="eastAsia"/>
        <w:color w:val="auto"/>
        <w:sz w:val="28"/>
        <w:szCs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134A4D"/>
    <w:multiLevelType w:val="multilevel"/>
    <w:tmpl w:val="922ADDDE"/>
    <w:lvl w:ilvl="0">
      <w:start w:val="1"/>
      <w:numFmt w:val="decimal"/>
      <w:lvlText w:val="%1."/>
      <w:lvlJc w:val="left"/>
      <w:pPr>
        <w:ind w:left="720" w:hanging="360"/>
      </w:pPr>
      <w:rPr>
        <w:rFonts w:hint="default"/>
        <w:b/>
        <w:b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0327EC5"/>
    <w:multiLevelType w:val="hybridMultilevel"/>
    <w:tmpl w:val="82D21838"/>
    <w:lvl w:ilvl="0" w:tplc="7686899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1D307E0"/>
    <w:multiLevelType w:val="multilevel"/>
    <w:tmpl w:val="4BEC15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7F30444"/>
    <w:multiLevelType w:val="hybridMultilevel"/>
    <w:tmpl w:val="098215B6"/>
    <w:lvl w:ilvl="0" w:tplc="0C090003">
      <w:start w:val="1"/>
      <w:numFmt w:val="bullet"/>
      <w:lvlText w:val="o"/>
      <w:lvlJc w:val="left"/>
      <w:pPr>
        <w:ind w:left="1146" w:hanging="360"/>
      </w:pPr>
      <w:rPr>
        <w:rFonts w:ascii="Courier New" w:hAnsi="Courier New" w:cs="Courier New" w:hint="default"/>
      </w:rPr>
    </w:lvl>
    <w:lvl w:ilvl="1" w:tplc="FFFFFFFF">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6" w15:restartNumberingAfterBreak="0">
    <w:nsid w:val="22E975D7"/>
    <w:multiLevelType w:val="multilevel"/>
    <w:tmpl w:val="A40011E2"/>
    <w:lvl w:ilvl="0">
      <w:start w:val="1"/>
      <w:numFmt w:val="bullet"/>
      <w:lvlText w:val=""/>
      <w:lvlJc w:val="left"/>
      <w:pPr>
        <w:ind w:left="720" w:hanging="360"/>
      </w:pPr>
      <w:rPr>
        <w:rFonts w:ascii="Symbol" w:hAnsi="Symbol"/>
        <w:color w:val="74777B" w:themeColor="text2"/>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376998"/>
    <w:multiLevelType w:val="hybridMultilevel"/>
    <w:tmpl w:val="7D9894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FD41093"/>
    <w:multiLevelType w:val="hybridMultilevel"/>
    <w:tmpl w:val="FE440912"/>
    <w:lvl w:ilvl="0" w:tplc="5012555C">
      <w:start w:val="1"/>
      <w:numFmt w:val="decimal"/>
      <w:lvlText w:val="%1."/>
      <w:lvlJc w:val="left"/>
      <w:pPr>
        <w:ind w:left="1080" w:hanging="360"/>
      </w:pPr>
      <w:rPr>
        <w:b/>
        <w:b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3BF6DCA"/>
    <w:multiLevelType w:val="hybridMultilevel"/>
    <w:tmpl w:val="B4E896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48FBCCA"/>
    <w:multiLevelType w:val="multilevel"/>
    <w:tmpl w:val="6540DA86"/>
    <w:lvl w:ilvl="0">
      <w:start w:val="1"/>
      <w:numFmt w:val="decimal"/>
      <w:lvlText w:val="%1."/>
      <w:lvlJc w:val="left"/>
      <w:pPr>
        <w:ind w:left="720" w:hanging="360"/>
      </w:pPr>
      <w:rPr>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A40481"/>
    <w:multiLevelType w:val="hybridMultilevel"/>
    <w:tmpl w:val="803E4442"/>
    <w:lvl w:ilvl="0" w:tplc="0C09000D">
      <w:start w:val="1"/>
      <w:numFmt w:val="bullet"/>
      <w:lvlText w:val=""/>
      <w:lvlJc w:val="left"/>
      <w:pPr>
        <w:ind w:left="1146" w:hanging="360"/>
      </w:pPr>
      <w:rPr>
        <w:rFonts w:ascii="Wingdings" w:hAnsi="Wingdings" w:hint="default"/>
      </w:rPr>
    </w:lvl>
    <w:lvl w:ilvl="1" w:tplc="FFFFFFFF">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2" w15:restartNumberingAfterBreak="0">
    <w:nsid w:val="3B63174B"/>
    <w:multiLevelType w:val="hybridMultilevel"/>
    <w:tmpl w:val="4ABEC070"/>
    <w:lvl w:ilvl="0" w:tplc="3BD23146">
      <w:start w:val="1"/>
      <w:numFmt w:val="bullet"/>
      <w:pStyle w:val="BulletLevel1"/>
      <w:lvlText w:val=""/>
      <w:lvlJc w:val="left"/>
      <w:pPr>
        <w:ind w:left="720" w:hanging="360"/>
      </w:pPr>
      <w:rPr>
        <w:rFonts w:ascii="Symbol" w:hAnsi="Symbol" w:hint="default"/>
        <w:color w:val="74777B" w:themeColor="text2"/>
      </w:rPr>
    </w:lvl>
    <w:lvl w:ilvl="1" w:tplc="EBD27BDE">
      <w:start w:val="1"/>
      <w:numFmt w:val="bullet"/>
      <w:pStyle w:val="BulletLevel2"/>
      <w:lvlText w:val="o"/>
      <w:lvlJc w:val="left"/>
      <w:pPr>
        <w:ind w:left="1440" w:hanging="360"/>
      </w:pPr>
      <w:rPr>
        <w:rFonts w:ascii="Courier New" w:hAnsi="Courier New" w:cs="Courier New" w:hint="default"/>
        <w:color w:val="74777B" w:themeColor="text2"/>
      </w:rPr>
    </w:lvl>
    <w:lvl w:ilvl="2" w:tplc="1BAAB9FE">
      <w:start w:val="1"/>
      <w:numFmt w:val="bullet"/>
      <w:pStyle w:val="BulletLevel3"/>
      <w:lvlText w:val=""/>
      <w:lvlJc w:val="left"/>
      <w:pPr>
        <w:ind w:left="2160" w:hanging="360"/>
      </w:pPr>
      <w:rPr>
        <w:rFonts w:ascii="Wingdings" w:hAnsi="Wingdings" w:hint="default"/>
        <w:color w:val="74777B" w:themeColor="text2"/>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6E25E5"/>
    <w:multiLevelType w:val="hybridMultilevel"/>
    <w:tmpl w:val="244CF1D0"/>
    <w:lvl w:ilvl="0" w:tplc="0C090003">
      <w:start w:val="1"/>
      <w:numFmt w:val="bullet"/>
      <w:lvlText w:val="o"/>
      <w:lvlJc w:val="left"/>
      <w:pPr>
        <w:ind w:left="1866" w:hanging="360"/>
      </w:pPr>
      <w:rPr>
        <w:rFonts w:ascii="Courier New" w:hAnsi="Courier New" w:cs="Courier New" w:hint="default"/>
      </w:rPr>
    </w:lvl>
    <w:lvl w:ilvl="1" w:tplc="0C090003" w:tentative="1">
      <w:start w:val="1"/>
      <w:numFmt w:val="bullet"/>
      <w:lvlText w:val="o"/>
      <w:lvlJc w:val="left"/>
      <w:pPr>
        <w:ind w:left="2586" w:hanging="360"/>
      </w:pPr>
      <w:rPr>
        <w:rFonts w:ascii="Courier New" w:hAnsi="Courier New" w:cs="Courier New" w:hint="default"/>
      </w:rPr>
    </w:lvl>
    <w:lvl w:ilvl="2" w:tplc="0C090005" w:tentative="1">
      <w:start w:val="1"/>
      <w:numFmt w:val="bullet"/>
      <w:lvlText w:val=""/>
      <w:lvlJc w:val="left"/>
      <w:pPr>
        <w:ind w:left="3306" w:hanging="360"/>
      </w:pPr>
      <w:rPr>
        <w:rFonts w:ascii="Wingdings" w:hAnsi="Wingdings" w:hint="default"/>
      </w:rPr>
    </w:lvl>
    <w:lvl w:ilvl="3" w:tplc="0C090001" w:tentative="1">
      <w:start w:val="1"/>
      <w:numFmt w:val="bullet"/>
      <w:lvlText w:val=""/>
      <w:lvlJc w:val="left"/>
      <w:pPr>
        <w:ind w:left="4026" w:hanging="360"/>
      </w:pPr>
      <w:rPr>
        <w:rFonts w:ascii="Symbol" w:hAnsi="Symbol" w:hint="default"/>
      </w:rPr>
    </w:lvl>
    <w:lvl w:ilvl="4" w:tplc="0C090003" w:tentative="1">
      <w:start w:val="1"/>
      <w:numFmt w:val="bullet"/>
      <w:lvlText w:val="o"/>
      <w:lvlJc w:val="left"/>
      <w:pPr>
        <w:ind w:left="4746" w:hanging="360"/>
      </w:pPr>
      <w:rPr>
        <w:rFonts w:ascii="Courier New" w:hAnsi="Courier New" w:cs="Courier New" w:hint="default"/>
      </w:rPr>
    </w:lvl>
    <w:lvl w:ilvl="5" w:tplc="0C090005" w:tentative="1">
      <w:start w:val="1"/>
      <w:numFmt w:val="bullet"/>
      <w:lvlText w:val=""/>
      <w:lvlJc w:val="left"/>
      <w:pPr>
        <w:ind w:left="5466" w:hanging="360"/>
      </w:pPr>
      <w:rPr>
        <w:rFonts w:ascii="Wingdings" w:hAnsi="Wingdings" w:hint="default"/>
      </w:rPr>
    </w:lvl>
    <w:lvl w:ilvl="6" w:tplc="0C090001" w:tentative="1">
      <w:start w:val="1"/>
      <w:numFmt w:val="bullet"/>
      <w:lvlText w:val=""/>
      <w:lvlJc w:val="left"/>
      <w:pPr>
        <w:ind w:left="6186" w:hanging="360"/>
      </w:pPr>
      <w:rPr>
        <w:rFonts w:ascii="Symbol" w:hAnsi="Symbol" w:hint="default"/>
      </w:rPr>
    </w:lvl>
    <w:lvl w:ilvl="7" w:tplc="0C090003" w:tentative="1">
      <w:start w:val="1"/>
      <w:numFmt w:val="bullet"/>
      <w:lvlText w:val="o"/>
      <w:lvlJc w:val="left"/>
      <w:pPr>
        <w:ind w:left="6906" w:hanging="360"/>
      </w:pPr>
      <w:rPr>
        <w:rFonts w:ascii="Courier New" w:hAnsi="Courier New" w:cs="Courier New" w:hint="default"/>
      </w:rPr>
    </w:lvl>
    <w:lvl w:ilvl="8" w:tplc="0C090005" w:tentative="1">
      <w:start w:val="1"/>
      <w:numFmt w:val="bullet"/>
      <w:lvlText w:val=""/>
      <w:lvlJc w:val="left"/>
      <w:pPr>
        <w:ind w:left="7626" w:hanging="360"/>
      </w:pPr>
      <w:rPr>
        <w:rFonts w:ascii="Wingdings" w:hAnsi="Wingdings" w:hint="default"/>
      </w:rPr>
    </w:lvl>
  </w:abstractNum>
  <w:abstractNum w:abstractNumId="24" w15:restartNumberingAfterBreak="0">
    <w:nsid w:val="4D9F1FDA"/>
    <w:multiLevelType w:val="hybridMultilevel"/>
    <w:tmpl w:val="4874F1BA"/>
    <w:lvl w:ilvl="0" w:tplc="0C090003">
      <w:start w:val="1"/>
      <w:numFmt w:val="bullet"/>
      <w:lvlText w:val="o"/>
      <w:lvlJc w:val="left"/>
      <w:pPr>
        <w:ind w:left="1429" w:hanging="360"/>
      </w:pPr>
      <w:rPr>
        <w:rFonts w:ascii="Courier New" w:hAnsi="Courier New" w:cs="Courier New"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5" w15:restartNumberingAfterBreak="0">
    <w:nsid w:val="587D7FC6"/>
    <w:multiLevelType w:val="multilevel"/>
    <w:tmpl w:val="7F348D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9D634E8"/>
    <w:multiLevelType w:val="hybridMultilevel"/>
    <w:tmpl w:val="F0220BBA"/>
    <w:lvl w:ilvl="0" w:tplc="D07CD880">
      <w:start w:val="1"/>
      <w:numFmt w:val="bullet"/>
      <w:lvlText w:val="☑"/>
      <w:lvlJc w:val="left"/>
      <w:pPr>
        <w:ind w:left="720" w:hanging="360"/>
      </w:pPr>
      <w:rPr>
        <w:rFonts w:ascii="MS Gothic" w:eastAsia="MS Gothic" w:hAnsi="MS Gothic" w:hint="eastAsia"/>
        <w:color w:val="auto"/>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9122AF"/>
    <w:multiLevelType w:val="hybridMultilevel"/>
    <w:tmpl w:val="F7A04F36"/>
    <w:lvl w:ilvl="0" w:tplc="2354C0B8">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904331"/>
    <w:multiLevelType w:val="hybridMultilevel"/>
    <w:tmpl w:val="F33CF4E8"/>
    <w:lvl w:ilvl="0" w:tplc="0C090003">
      <w:start w:val="1"/>
      <w:numFmt w:val="bullet"/>
      <w:lvlText w:val="o"/>
      <w:lvlJc w:val="left"/>
      <w:pPr>
        <w:ind w:left="1866" w:hanging="360"/>
      </w:pPr>
      <w:rPr>
        <w:rFonts w:ascii="Courier New" w:hAnsi="Courier New" w:cs="Courier New" w:hint="default"/>
      </w:rPr>
    </w:lvl>
    <w:lvl w:ilvl="1" w:tplc="0C090003" w:tentative="1">
      <w:start w:val="1"/>
      <w:numFmt w:val="bullet"/>
      <w:lvlText w:val="o"/>
      <w:lvlJc w:val="left"/>
      <w:pPr>
        <w:ind w:left="2586" w:hanging="360"/>
      </w:pPr>
      <w:rPr>
        <w:rFonts w:ascii="Courier New" w:hAnsi="Courier New" w:cs="Courier New" w:hint="default"/>
      </w:rPr>
    </w:lvl>
    <w:lvl w:ilvl="2" w:tplc="0C090005" w:tentative="1">
      <w:start w:val="1"/>
      <w:numFmt w:val="bullet"/>
      <w:lvlText w:val=""/>
      <w:lvlJc w:val="left"/>
      <w:pPr>
        <w:ind w:left="3306" w:hanging="360"/>
      </w:pPr>
      <w:rPr>
        <w:rFonts w:ascii="Wingdings" w:hAnsi="Wingdings" w:hint="default"/>
      </w:rPr>
    </w:lvl>
    <w:lvl w:ilvl="3" w:tplc="0C090001" w:tentative="1">
      <w:start w:val="1"/>
      <w:numFmt w:val="bullet"/>
      <w:lvlText w:val=""/>
      <w:lvlJc w:val="left"/>
      <w:pPr>
        <w:ind w:left="4026" w:hanging="360"/>
      </w:pPr>
      <w:rPr>
        <w:rFonts w:ascii="Symbol" w:hAnsi="Symbol" w:hint="default"/>
      </w:rPr>
    </w:lvl>
    <w:lvl w:ilvl="4" w:tplc="0C090003" w:tentative="1">
      <w:start w:val="1"/>
      <w:numFmt w:val="bullet"/>
      <w:lvlText w:val="o"/>
      <w:lvlJc w:val="left"/>
      <w:pPr>
        <w:ind w:left="4746" w:hanging="360"/>
      </w:pPr>
      <w:rPr>
        <w:rFonts w:ascii="Courier New" w:hAnsi="Courier New" w:cs="Courier New" w:hint="default"/>
      </w:rPr>
    </w:lvl>
    <w:lvl w:ilvl="5" w:tplc="0C090005" w:tentative="1">
      <w:start w:val="1"/>
      <w:numFmt w:val="bullet"/>
      <w:lvlText w:val=""/>
      <w:lvlJc w:val="left"/>
      <w:pPr>
        <w:ind w:left="5466" w:hanging="360"/>
      </w:pPr>
      <w:rPr>
        <w:rFonts w:ascii="Wingdings" w:hAnsi="Wingdings" w:hint="default"/>
      </w:rPr>
    </w:lvl>
    <w:lvl w:ilvl="6" w:tplc="0C090001" w:tentative="1">
      <w:start w:val="1"/>
      <w:numFmt w:val="bullet"/>
      <w:lvlText w:val=""/>
      <w:lvlJc w:val="left"/>
      <w:pPr>
        <w:ind w:left="6186" w:hanging="360"/>
      </w:pPr>
      <w:rPr>
        <w:rFonts w:ascii="Symbol" w:hAnsi="Symbol" w:hint="default"/>
      </w:rPr>
    </w:lvl>
    <w:lvl w:ilvl="7" w:tplc="0C090003" w:tentative="1">
      <w:start w:val="1"/>
      <w:numFmt w:val="bullet"/>
      <w:lvlText w:val="o"/>
      <w:lvlJc w:val="left"/>
      <w:pPr>
        <w:ind w:left="6906" w:hanging="360"/>
      </w:pPr>
      <w:rPr>
        <w:rFonts w:ascii="Courier New" w:hAnsi="Courier New" w:cs="Courier New" w:hint="default"/>
      </w:rPr>
    </w:lvl>
    <w:lvl w:ilvl="8" w:tplc="0C090005" w:tentative="1">
      <w:start w:val="1"/>
      <w:numFmt w:val="bullet"/>
      <w:lvlText w:val=""/>
      <w:lvlJc w:val="left"/>
      <w:pPr>
        <w:ind w:left="7626" w:hanging="360"/>
      </w:pPr>
      <w:rPr>
        <w:rFonts w:ascii="Wingdings" w:hAnsi="Wingdings" w:hint="default"/>
      </w:rPr>
    </w:lvl>
  </w:abstractNum>
  <w:abstractNum w:abstractNumId="29" w15:restartNumberingAfterBreak="0">
    <w:nsid w:val="5E632940"/>
    <w:multiLevelType w:val="multilevel"/>
    <w:tmpl w:val="5EC4D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1B19D0"/>
    <w:multiLevelType w:val="hybridMultilevel"/>
    <w:tmpl w:val="D7B8375C"/>
    <w:lvl w:ilvl="0" w:tplc="D07CD880">
      <w:start w:val="1"/>
      <w:numFmt w:val="bullet"/>
      <w:lvlText w:val="☑"/>
      <w:lvlJc w:val="left"/>
      <w:pPr>
        <w:ind w:left="720" w:hanging="360"/>
      </w:pPr>
      <w:rPr>
        <w:rFonts w:ascii="MS Gothic" w:eastAsia="MS Gothic" w:hAnsi="MS Gothic" w:hint="eastAsia"/>
        <w:color w:val="auto"/>
        <w:sz w:val="28"/>
        <w:szCs w:val="2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646EAF"/>
    <w:multiLevelType w:val="multilevel"/>
    <w:tmpl w:val="6540DA86"/>
    <w:lvl w:ilvl="0">
      <w:start w:val="1"/>
      <w:numFmt w:val="decimal"/>
      <w:lvlText w:val="%1."/>
      <w:lvlJc w:val="left"/>
      <w:pPr>
        <w:ind w:left="720" w:hanging="360"/>
      </w:pPr>
      <w:rPr>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A346B3E"/>
    <w:multiLevelType w:val="hybridMultilevel"/>
    <w:tmpl w:val="B5262386"/>
    <w:lvl w:ilvl="0" w:tplc="0C090003">
      <w:start w:val="1"/>
      <w:numFmt w:val="bullet"/>
      <w:lvlText w:val="o"/>
      <w:lvlJc w:val="left"/>
      <w:pPr>
        <w:ind w:left="1429" w:hanging="360"/>
      </w:pPr>
      <w:rPr>
        <w:rFonts w:ascii="Courier New" w:hAnsi="Courier New" w:cs="Courier New"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3" w15:restartNumberingAfterBreak="0">
    <w:nsid w:val="7ADC1901"/>
    <w:multiLevelType w:val="hybridMultilevel"/>
    <w:tmpl w:val="EE02802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355AF9"/>
    <w:multiLevelType w:val="multilevel"/>
    <w:tmpl w:val="0DFA6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15707294">
    <w:abstractNumId w:val="22"/>
  </w:num>
  <w:num w:numId="2" w16cid:durableId="2021739728">
    <w:abstractNumId w:val="27"/>
  </w:num>
  <w:num w:numId="3" w16cid:durableId="1318729421">
    <w:abstractNumId w:val="7"/>
  </w:num>
  <w:num w:numId="4" w16cid:durableId="132069655">
    <w:abstractNumId w:val="6"/>
  </w:num>
  <w:num w:numId="5" w16cid:durableId="776364973">
    <w:abstractNumId w:val="5"/>
  </w:num>
  <w:num w:numId="6" w16cid:durableId="1798601106">
    <w:abstractNumId w:val="4"/>
  </w:num>
  <w:num w:numId="7" w16cid:durableId="1328441779">
    <w:abstractNumId w:val="3"/>
  </w:num>
  <w:num w:numId="8" w16cid:durableId="1816944921">
    <w:abstractNumId w:val="2"/>
  </w:num>
  <w:num w:numId="9" w16cid:durableId="629747420">
    <w:abstractNumId w:val="1"/>
  </w:num>
  <w:num w:numId="10" w16cid:durableId="63139844">
    <w:abstractNumId w:val="0"/>
  </w:num>
  <w:num w:numId="11" w16cid:durableId="1419475711">
    <w:abstractNumId w:val="20"/>
  </w:num>
  <w:num w:numId="12" w16cid:durableId="305664637">
    <w:abstractNumId w:val="32"/>
  </w:num>
  <w:num w:numId="13" w16cid:durableId="1633755476">
    <w:abstractNumId w:val="23"/>
  </w:num>
  <w:num w:numId="14" w16cid:durableId="849568826">
    <w:abstractNumId w:val="28"/>
  </w:num>
  <w:num w:numId="15" w16cid:durableId="529801206">
    <w:abstractNumId w:val="24"/>
  </w:num>
  <w:num w:numId="16" w16cid:durableId="412513717">
    <w:abstractNumId w:val="11"/>
  </w:num>
  <w:num w:numId="17" w16cid:durableId="1604680285">
    <w:abstractNumId w:val="15"/>
  </w:num>
  <w:num w:numId="18" w16cid:durableId="75329946">
    <w:abstractNumId w:val="16"/>
  </w:num>
  <w:num w:numId="19" w16cid:durableId="1289974609">
    <w:abstractNumId w:val="8"/>
  </w:num>
  <w:num w:numId="20" w16cid:durableId="2102022049">
    <w:abstractNumId w:val="17"/>
  </w:num>
  <w:num w:numId="21" w16cid:durableId="2106992665">
    <w:abstractNumId w:val="25"/>
  </w:num>
  <w:num w:numId="22" w16cid:durableId="705377406">
    <w:abstractNumId w:val="29"/>
  </w:num>
  <w:num w:numId="23" w16cid:durableId="1103040214">
    <w:abstractNumId w:val="34"/>
  </w:num>
  <w:num w:numId="24" w16cid:durableId="1265456010">
    <w:abstractNumId w:val="14"/>
  </w:num>
  <w:num w:numId="25" w16cid:durableId="704868658">
    <w:abstractNumId w:val="19"/>
  </w:num>
  <w:num w:numId="26" w16cid:durableId="109664492">
    <w:abstractNumId w:val="21"/>
  </w:num>
  <w:num w:numId="27" w16cid:durableId="851183926">
    <w:abstractNumId w:val="10"/>
  </w:num>
  <w:num w:numId="28" w16cid:durableId="821434932">
    <w:abstractNumId w:val="33"/>
  </w:num>
  <w:num w:numId="29" w16cid:durableId="1045831598">
    <w:abstractNumId w:val="9"/>
  </w:num>
  <w:num w:numId="30" w16cid:durableId="1581594306">
    <w:abstractNumId w:val="30"/>
  </w:num>
  <w:num w:numId="31" w16cid:durableId="1489979652">
    <w:abstractNumId w:val="26"/>
  </w:num>
  <w:num w:numId="32" w16cid:durableId="1378819760">
    <w:abstractNumId w:val="12"/>
  </w:num>
  <w:num w:numId="33" w16cid:durableId="2126583827">
    <w:abstractNumId w:val="13"/>
  </w:num>
  <w:num w:numId="34" w16cid:durableId="157813569">
    <w:abstractNumId w:val="31"/>
  </w:num>
  <w:num w:numId="35" w16cid:durableId="1862551380">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wMjGwNDM2MzAxMzJS0lEKTi0uzszPAykwrAUAlUg96ywAAAA="/>
  </w:docVars>
  <w:rsids>
    <w:rsidRoot w:val="00CF7C21"/>
    <w:rsid w:val="000030D8"/>
    <w:rsid w:val="00003DAA"/>
    <w:rsid w:val="00005B81"/>
    <w:rsid w:val="00007737"/>
    <w:rsid w:val="00014ABE"/>
    <w:rsid w:val="000160C8"/>
    <w:rsid w:val="000219F6"/>
    <w:rsid w:val="00021B2D"/>
    <w:rsid w:val="000303BC"/>
    <w:rsid w:val="0003282F"/>
    <w:rsid w:val="00032A32"/>
    <w:rsid w:val="00034DF4"/>
    <w:rsid w:val="00035178"/>
    <w:rsid w:val="00036243"/>
    <w:rsid w:val="000366C5"/>
    <w:rsid w:val="000403C5"/>
    <w:rsid w:val="00042D18"/>
    <w:rsid w:val="00043508"/>
    <w:rsid w:val="000448F0"/>
    <w:rsid w:val="0005291E"/>
    <w:rsid w:val="00066A13"/>
    <w:rsid w:val="00073060"/>
    <w:rsid w:val="0007516A"/>
    <w:rsid w:val="000779BF"/>
    <w:rsid w:val="00080839"/>
    <w:rsid w:val="00085106"/>
    <w:rsid w:val="00085A6F"/>
    <w:rsid w:val="000A08A4"/>
    <w:rsid w:val="000A4AFE"/>
    <w:rsid w:val="000A7E41"/>
    <w:rsid w:val="000B675C"/>
    <w:rsid w:val="000C07F4"/>
    <w:rsid w:val="000C58DD"/>
    <w:rsid w:val="000D1C08"/>
    <w:rsid w:val="000D2807"/>
    <w:rsid w:val="000D357E"/>
    <w:rsid w:val="000E305A"/>
    <w:rsid w:val="000E4351"/>
    <w:rsid w:val="000F0097"/>
    <w:rsid w:val="000F04B3"/>
    <w:rsid w:val="000F134A"/>
    <w:rsid w:val="000F32B9"/>
    <w:rsid w:val="0010015F"/>
    <w:rsid w:val="00102C58"/>
    <w:rsid w:val="001041A5"/>
    <w:rsid w:val="0011128B"/>
    <w:rsid w:val="00115E20"/>
    <w:rsid w:val="001202C7"/>
    <w:rsid w:val="0012105D"/>
    <w:rsid w:val="00121B95"/>
    <w:rsid w:val="00127C33"/>
    <w:rsid w:val="001331CA"/>
    <w:rsid w:val="0014038E"/>
    <w:rsid w:val="001547E5"/>
    <w:rsid w:val="001554DA"/>
    <w:rsid w:val="00166E68"/>
    <w:rsid w:val="00170D33"/>
    <w:rsid w:val="00171572"/>
    <w:rsid w:val="001723EC"/>
    <w:rsid w:val="00174461"/>
    <w:rsid w:val="00174C72"/>
    <w:rsid w:val="00175CE1"/>
    <w:rsid w:val="001818D2"/>
    <w:rsid w:val="00190F68"/>
    <w:rsid w:val="00193981"/>
    <w:rsid w:val="00194CEB"/>
    <w:rsid w:val="001A4EE1"/>
    <w:rsid w:val="001A67C8"/>
    <w:rsid w:val="001B1FD3"/>
    <w:rsid w:val="001B3CDA"/>
    <w:rsid w:val="001C0AB5"/>
    <w:rsid w:val="001C2E4D"/>
    <w:rsid w:val="001D0CB7"/>
    <w:rsid w:val="001D13C8"/>
    <w:rsid w:val="001D1D06"/>
    <w:rsid w:val="001D55D0"/>
    <w:rsid w:val="001D62EC"/>
    <w:rsid w:val="001D6311"/>
    <w:rsid w:val="001D75A9"/>
    <w:rsid w:val="001E4A57"/>
    <w:rsid w:val="001F2D40"/>
    <w:rsid w:val="001F5FC2"/>
    <w:rsid w:val="00200075"/>
    <w:rsid w:val="00200733"/>
    <w:rsid w:val="00201174"/>
    <w:rsid w:val="0020426B"/>
    <w:rsid w:val="002055A9"/>
    <w:rsid w:val="00207047"/>
    <w:rsid w:val="00212181"/>
    <w:rsid w:val="00216F2C"/>
    <w:rsid w:val="00217849"/>
    <w:rsid w:val="00221D7B"/>
    <w:rsid w:val="002261BC"/>
    <w:rsid w:val="00233789"/>
    <w:rsid w:val="00237061"/>
    <w:rsid w:val="00240099"/>
    <w:rsid w:val="002403C9"/>
    <w:rsid w:val="00241DC9"/>
    <w:rsid w:val="00244AC4"/>
    <w:rsid w:val="00253996"/>
    <w:rsid w:val="00262DEB"/>
    <w:rsid w:val="00264704"/>
    <w:rsid w:val="0027054D"/>
    <w:rsid w:val="002744DC"/>
    <w:rsid w:val="00282423"/>
    <w:rsid w:val="0028243E"/>
    <w:rsid w:val="002836F2"/>
    <w:rsid w:val="002951CA"/>
    <w:rsid w:val="002A118B"/>
    <w:rsid w:val="002A25A1"/>
    <w:rsid w:val="002B1F91"/>
    <w:rsid w:val="002B27A5"/>
    <w:rsid w:val="002B48BE"/>
    <w:rsid w:val="002B4AA0"/>
    <w:rsid w:val="002B5409"/>
    <w:rsid w:val="002C0301"/>
    <w:rsid w:val="002C0C82"/>
    <w:rsid w:val="002D6AA7"/>
    <w:rsid w:val="002D7AD4"/>
    <w:rsid w:val="002E4B20"/>
    <w:rsid w:val="002E6EF8"/>
    <w:rsid w:val="002F1F10"/>
    <w:rsid w:val="002F2126"/>
    <w:rsid w:val="002F43C7"/>
    <w:rsid w:val="002F799A"/>
    <w:rsid w:val="00305ECA"/>
    <w:rsid w:val="00310F0B"/>
    <w:rsid w:val="0031113C"/>
    <w:rsid w:val="003145E5"/>
    <w:rsid w:val="00316CD5"/>
    <w:rsid w:val="00326415"/>
    <w:rsid w:val="003274CF"/>
    <w:rsid w:val="0033628E"/>
    <w:rsid w:val="00337A91"/>
    <w:rsid w:val="00344BA9"/>
    <w:rsid w:val="00351C1E"/>
    <w:rsid w:val="00356971"/>
    <w:rsid w:val="0036197B"/>
    <w:rsid w:val="0036287D"/>
    <w:rsid w:val="00364A44"/>
    <w:rsid w:val="00366666"/>
    <w:rsid w:val="003668C3"/>
    <w:rsid w:val="00391099"/>
    <w:rsid w:val="00393BB4"/>
    <w:rsid w:val="003A0D70"/>
    <w:rsid w:val="003B290D"/>
    <w:rsid w:val="003C2383"/>
    <w:rsid w:val="003C4A2E"/>
    <w:rsid w:val="003C4D41"/>
    <w:rsid w:val="003D0032"/>
    <w:rsid w:val="003D6ABE"/>
    <w:rsid w:val="003D7B79"/>
    <w:rsid w:val="003E1CB0"/>
    <w:rsid w:val="003E3FE3"/>
    <w:rsid w:val="003E5539"/>
    <w:rsid w:val="004117DB"/>
    <w:rsid w:val="004176D1"/>
    <w:rsid w:val="00420F0E"/>
    <w:rsid w:val="004275EA"/>
    <w:rsid w:val="00431DF6"/>
    <w:rsid w:val="0043357F"/>
    <w:rsid w:val="00433AC9"/>
    <w:rsid w:val="00434A12"/>
    <w:rsid w:val="0043570B"/>
    <w:rsid w:val="004364BA"/>
    <w:rsid w:val="00443820"/>
    <w:rsid w:val="0044475F"/>
    <w:rsid w:val="00447E2E"/>
    <w:rsid w:val="00447E51"/>
    <w:rsid w:val="004527AF"/>
    <w:rsid w:val="00453271"/>
    <w:rsid w:val="00456D21"/>
    <w:rsid w:val="004675A8"/>
    <w:rsid w:val="00484A54"/>
    <w:rsid w:val="00484DEB"/>
    <w:rsid w:val="00486604"/>
    <w:rsid w:val="004943D6"/>
    <w:rsid w:val="00496279"/>
    <w:rsid w:val="004A3DE5"/>
    <w:rsid w:val="004B013A"/>
    <w:rsid w:val="004B1288"/>
    <w:rsid w:val="004B20F1"/>
    <w:rsid w:val="004B3DD4"/>
    <w:rsid w:val="004B786F"/>
    <w:rsid w:val="004D0A78"/>
    <w:rsid w:val="004D0DFA"/>
    <w:rsid w:val="004D4DE2"/>
    <w:rsid w:val="004D59F5"/>
    <w:rsid w:val="004E559A"/>
    <w:rsid w:val="004E5F49"/>
    <w:rsid w:val="004F102D"/>
    <w:rsid w:val="004F4BF0"/>
    <w:rsid w:val="004F584D"/>
    <w:rsid w:val="004F5DE4"/>
    <w:rsid w:val="004F7645"/>
    <w:rsid w:val="005051C8"/>
    <w:rsid w:val="00505625"/>
    <w:rsid w:val="0050720B"/>
    <w:rsid w:val="00507B8F"/>
    <w:rsid w:val="00513041"/>
    <w:rsid w:val="005176B0"/>
    <w:rsid w:val="00520749"/>
    <w:rsid w:val="0052221D"/>
    <w:rsid w:val="00526BD6"/>
    <w:rsid w:val="00527320"/>
    <w:rsid w:val="00531BBB"/>
    <w:rsid w:val="00532E99"/>
    <w:rsid w:val="00540519"/>
    <w:rsid w:val="00544040"/>
    <w:rsid w:val="00546E76"/>
    <w:rsid w:val="00563CC1"/>
    <w:rsid w:val="00570069"/>
    <w:rsid w:val="00577526"/>
    <w:rsid w:val="00580DEC"/>
    <w:rsid w:val="00582CF3"/>
    <w:rsid w:val="0059173A"/>
    <w:rsid w:val="00592192"/>
    <w:rsid w:val="005921D2"/>
    <w:rsid w:val="0059787E"/>
    <w:rsid w:val="005A6B04"/>
    <w:rsid w:val="005B7A37"/>
    <w:rsid w:val="005C2448"/>
    <w:rsid w:val="005C5D0B"/>
    <w:rsid w:val="005C6A5B"/>
    <w:rsid w:val="005D45AB"/>
    <w:rsid w:val="005E4DD2"/>
    <w:rsid w:val="005F27A9"/>
    <w:rsid w:val="005F3342"/>
    <w:rsid w:val="005F5A8B"/>
    <w:rsid w:val="0060297E"/>
    <w:rsid w:val="00602FAD"/>
    <w:rsid w:val="00603766"/>
    <w:rsid w:val="0060501E"/>
    <w:rsid w:val="00605729"/>
    <w:rsid w:val="00605D67"/>
    <w:rsid w:val="006127AB"/>
    <w:rsid w:val="00613A42"/>
    <w:rsid w:val="00613B17"/>
    <w:rsid w:val="00617410"/>
    <w:rsid w:val="00637C6D"/>
    <w:rsid w:val="00637DBA"/>
    <w:rsid w:val="0065480B"/>
    <w:rsid w:val="00655E21"/>
    <w:rsid w:val="00656882"/>
    <w:rsid w:val="006609DD"/>
    <w:rsid w:val="00661D8D"/>
    <w:rsid w:val="00667FA4"/>
    <w:rsid w:val="00676961"/>
    <w:rsid w:val="00687314"/>
    <w:rsid w:val="0069646B"/>
    <w:rsid w:val="0069659D"/>
    <w:rsid w:val="006A57ED"/>
    <w:rsid w:val="006B3AFF"/>
    <w:rsid w:val="006C0063"/>
    <w:rsid w:val="006C1A18"/>
    <w:rsid w:val="006C1D80"/>
    <w:rsid w:val="006C31CB"/>
    <w:rsid w:val="006C31DA"/>
    <w:rsid w:val="006C77CD"/>
    <w:rsid w:val="006D007B"/>
    <w:rsid w:val="006E1052"/>
    <w:rsid w:val="006E36B6"/>
    <w:rsid w:val="006E7E19"/>
    <w:rsid w:val="00702C86"/>
    <w:rsid w:val="00714155"/>
    <w:rsid w:val="00721313"/>
    <w:rsid w:val="00727BAC"/>
    <w:rsid w:val="0073333D"/>
    <w:rsid w:val="00736959"/>
    <w:rsid w:val="007404AD"/>
    <w:rsid w:val="007405E3"/>
    <w:rsid w:val="00740FF4"/>
    <w:rsid w:val="0074196D"/>
    <w:rsid w:val="00744CCB"/>
    <w:rsid w:val="00745D57"/>
    <w:rsid w:val="00746A25"/>
    <w:rsid w:val="00747DA2"/>
    <w:rsid w:val="00751D6E"/>
    <w:rsid w:val="00754ABD"/>
    <w:rsid w:val="007625C4"/>
    <w:rsid w:val="007634A2"/>
    <w:rsid w:val="007662F8"/>
    <w:rsid w:val="00771587"/>
    <w:rsid w:val="0077187D"/>
    <w:rsid w:val="00780703"/>
    <w:rsid w:val="00782187"/>
    <w:rsid w:val="00782838"/>
    <w:rsid w:val="00782853"/>
    <w:rsid w:val="00795872"/>
    <w:rsid w:val="00796219"/>
    <w:rsid w:val="007A1CC8"/>
    <w:rsid w:val="007A2F31"/>
    <w:rsid w:val="007A4310"/>
    <w:rsid w:val="007A510D"/>
    <w:rsid w:val="007B01B9"/>
    <w:rsid w:val="007B14EE"/>
    <w:rsid w:val="007B2FDC"/>
    <w:rsid w:val="007B6308"/>
    <w:rsid w:val="007B7618"/>
    <w:rsid w:val="007D4EEA"/>
    <w:rsid w:val="007E19A7"/>
    <w:rsid w:val="007E42BA"/>
    <w:rsid w:val="007E74C0"/>
    <w:rsid w:val="007F36C5"/>
    <w:rsid w:val="0080234F"/>
    <w:rsid w:val="0080288D"/>
    <w:rsid w:val="0080451D"/>
    <w:rsid w:val="00805886"/>
    <w:rsid w:val="00810C2D"/>
    <w:rsid w:val="00813216"/>
    <w:rsid w:val="0081390F"/>
    <w:rsid w:val="00816FC5"/>
    <w:rsid w:val="008173BA"/>
    <w:rsid w:val="00817BE2"/>
    <w:rsid w:val="00817F28"/>
    <w:rsid w:val="00823CCA"/>
    <w:rsid w:val="00827E7D"/>
    <w:rsid w:val="00836610"/>
    <w:rsid w:val="00836E53"/>
    <w:rsid w:val="00842A1A"/>
    <w:rsid w:val="008441B8"/>
    <w:rsid w:val="0084518A"/>
    <w:rsid w:val="00864795"/>
    <w:rsid w:val="008649E9"/>
    <w:rsid w:val="00875929"/>
    <w:rsid w:val="00875C3B"/>
    <w:rsid w:val="00876F6C"/>
    <w:rsid w:val="0087763E"/>
    <w:rsid w:val="0088042D"/>
    <w:rsid w:val="008810EA"/>
    <w:rsid w:val="00886B29"/>
    <w:rsid w:val="008871DE"/>
    <w:rsid w:val="00890770"/>
    <w:rsid w:val="008917D7"/>
    <w:rsid w:val="008A7B68"/>
    <w:rsid w:val="008B6741"/>
    <w:rsid w:val="008B7CC4"/>
    <w:rsid w:val="008C10AE"/>
    <w:rsid w:val="008C2445"/>
    <w:rsid w:val="008C28E2"/>
    <w:rsid w:val="008D3E20"/>
    <w:rsid w:val="008D52C4"/>
    <w:rsid w:val="008D58B7"/>
    <w:rsid w:val="008D7177"/>
    <w:rsid w:val="008E1255"/>
    <w:rsid w:val="008E4581"/>
    <w:rsid w:val="008E7EC4"/>
    <w:rsid w:val="008F1F80"/>
    <w:rsid w:val="008F2167"/>
    <w:rsid w:val="008F4731"/>
    <w:rsid w:val="008F7103"/>
    <w:rsid w:val="008F7837"/>
    <w:rsid w:val="0091135B"/>
    <w:rsid w:val="009143DC"/>
    <w:rsid w:val="00915D8E"/>
    <w:rsid w:val="009169E6"/>
    <w:rsid w:val="009217AD"/>
    <w:rsid w:val="009304DE"/>
    <w:rsid w:val="00931B98"/>
    <w:rsid w:val="009321F1"/>
    <w:rsid w:val="00932A22"/>
    <w:rsid w:val="00934883"/>
    <w:rsid w:val="00937A83"/>
    <w:rsid w:val="0094742F"/>
    <w:rsid w:val="00950C74"/>
    <w:rsid w:val="009523A8"/>
    <w:rsid w:val="0095427D"/>
    <w:rsid w:val="009554E7"/>
    <w:rsid w:val="00960082"/>
    <w:rsid w:val="009611D8"/>
    <w:rsid w:val="009617FB"/>
    <w:rsid w:val="00961B53"/>
    <w:rsid w:val="00967DC7"/>
    <w:rsid w:val="00970454"/>
    <w:rsid w:val="00972463"/>
    <w:rsid w:val="00983BFE"/>
    <w:rsid w:val="00990BC1"/>
    <w:rsid w:val="009913CA"/>
    <w:rsid w:val="009918C6"/>
    <w:rsid w:val="009939E0"/>
    <w:rsid w:val="009A68D4"/>
    <w:rsid w:val="009B1A9B"/>
    <w:rsid w:val="009B3F21"/>
    <w:rsid w:val="009B527D"/>
    <w:rsid w:val="009C7B11"/>
    <w:rsid w:val="009D04D0"/>
    <w:rsid w:val="009D19CA"/>
    <w:rsid w:val="009D311F"/>
    <w:rsid w:val="009D5B91"/>
    <w:rsid w:val="009D5C30"/>
    <w:rsid w:val="009E1BD0"/>
    <w:rsid w:val="009E317F"/>
    <w:rsid w:val="009E356E"/>
    <w:rsid w:val="009E661C"/>
    <w:rsid w:val="009E79B1"/>
    <w:rsid w:val="009F2B7D"/>
    <w:rsid w:val="009F4811"/>
    <w:rsid w:val="009F6923"/>
    <w:rsid w:val="00A0004B"/>
    <w:rsid w:val="00A0299C"/>
    <w:rsid w:val="00A040BB"/>
    <w:rsid w:val="00A05EA9"/>
    <w:rsid w:val="00A26B1E"/>
    <w:rsid w:val="00A36735"/>
    <w:rsid w:val="00A3729B"/>
    <w:rsid w:val="00A40EE8"/>
    <w:rsid w:val="00A42017"/>
    <w:rsid w:val="00A436A8"/>
    <w:rsid w:val="00A43F59"/>
    <w:rsid w:val="00A51CA4"/>
    <w:rsid w:val="00A63C88"/>
    <w:rsid w:val="00A812C1"/>
    <w:rsid w:val="00A86398"/>
    <w:rsid w:val="00A95D10"/>
    <w:rsid w:val="00A9618B"/>
    <w:rsid w:val="00AA6F3D"/>
    <w:rsid w:val="00AB26EC"/>
    <w:rsid w:val="00AB2EE3"/>
    <w:rsid w:val="00AB4716"/>
    <w:rsid w:val="00AC2AF7"/>
    <w:rsid w:val="00AD5BBE"/>
    <w:rsid w:val="00AF36B7"/>
    <w:rsid w:val="00AF67D9"/>
    <w:rsid w:val="00B00E1C"/>
    <w:rsid w:val="00B02433"/>
    <w:rsid w:val="00B0688C"/>
    <w:rsid w:val="00B17E6E"/>
    <w:rsid w:val="00B26CE9"/>
    <w:rsid w:val="00B3217D"/>
    <w:rsid w:val="00B3357D"/>
    <w:rsid w:val="00B37650"/>
    <w:rsid w:val="00B524FD"/>
    <w:rsid w:val="00B5437B"/>
    <w:rsid w:val="00B54537"/>
    <w:rsid w:val="00B55DC7"/>
    <w:rsid w:val="00B70119"/>
    <w:rsid w:val="00B73706"/>
    <w:rsid w:val="00B778F7"/>
    <w:rsid w:val="00B8410A"/>
    <w:rsid w:val="00B85C28"/>
    <w:rsid w:val="00B87D70"/>
    <w:rsid w:val="00BA384F"/>
    <w:rsid w:val="00BA4B05"/>
    <w:rsid w:val="00BA5110"/>
    <w:rsid w:val="00BA6794"/>
    <w:rsid w:val="00BA6D18"/>
    <w:rsid w:val="00BB0C9E"/>
    <w:rsid w:val="00BB472C"/>
    <w:rsid w:val="00BB4DE4"/>
    <w:rsid w:val="00BB7783"/>
    <w:rsid w:val="00BC0A83"/>
    <w:rsid w:val="00BC3781"/>
    <w:rsid w:val="00BC5454"/>
    <w:rsid w:val="00BC6218"/>
    <w:rsid w:val="00BD38CD"/>
    <w:rsid w:val="00BE08E7"/>
    <w:rsid w:val="00BE1A80"/>
    <w:rsid w:val="00BF1E53"/>
    <w:rsid w:val="00BF4B0B"/>
    <w:rsid w:val="00C00E06"/>
    <w:rsid w:val="00C01EC7"/>
    <w:rsid w:val="00C031A2"/>
    <w:rsid w:val="00C12E86"/>
    <w:rsid w:val="00C131F3"/>
    <w:rsid w:val="00C17ECE"/>
    <w:rsid w:val="00C218B4"/>
    <w:rsid w:val="00C2555D"/>
    <w:rsid w:val="00C42A0A"/>
    <w:rsid w:val="00C43AAD"/>
    <w:rsid w:val="00C46CA8"/>
    <w:rsid w:val="00C532A9"/>
    <w:rsid w:val="00C5374A"/>
    <w:rsid w:val="00C56B37"/>
    <w:rsid w:val="00C5704A"/>
    <w:rsid w:val="00C71DF4"/>
    <w:rsid w:val="00C72B5D"/>
    <w:rsid w:val="00C7355F"/>
    <w:rsid w:val="00C746AC"/>
    <w:rsid w:val="00C74C98"/>
    <w:rsid w:val="00C757F1"/>
    <w:rsid w:val="00C805DC"/>
    <w:rsid w:val="00C83396"/>
    <w:rsid w:val="00C8463A"/>
    <w:rsid w:val="00C87F77"/>
    <w:rsid w:val="00C90011"/>
    <w:rsid w:val="00C97D8D"/>
    <w:rsid w:val="00CA64B3"/>
    <w:rsid w:val="00CC6A46"/>
    <w:rsid w:val="00CD6078"/>
    <w:rsid w:val="00CE2B98"/>
    <w:rsid w:val="00CE447F"/>
    <w:rsid w:val="00CE6090"/>
    <w:rsid w:val="00CF1F3B"/>
    <w:rsid w:val="00CF235C"/>
    <w:rsid w:val="00CF7C21"/>
    <w:rsid w:val="00D170CF"/>
    <w:rsid w:val="00D2117A"/>
    <w:rsid w:val="00D23E2E"/>
    <w:rsid w:val="00D30AE2"/>
    <w:rsid w:val="00D31E03"/>
    <w:rsid w:val="00D41E19"/>
    <w:rsid w:val="00D44822"/>
    <w:rsid w:val="00D464BF"/>
    <w:rsid w:val="00D503EA"/>
    <w:rsid w:val="00D50A09"/>
    <w:rsid w:val="00D527FE"/>
    <w:rsid w:val="00D5637A"/>
    <w:rsid w:val="00D64669"/>
    <w:rsid w:val="00D71F7C"/>
    <w:rsid w:val="00D90A8D"/>
    <w:rsid w:val="00D95465"/>
    <w:rsid w:val="00DA2BAE"/>
    <w:rsid w:val="00DA4CC0"/>
    <w:rsid w:val="00DA5332"/>
    <w:rsid w:val="00DB150F"/>
    <w:rsid w:val="00DB1E1B"/>
    <w:rsid w:val="00DB3C3E"/>
    <w:rsid w:val="00DB3DE9"/>
    <w:rsid w:val="00DB4462"/>
    <w:rsid w:val="00DB4737"/>
    <w:rsid w:val="00DC746F"/>
    <w:rsid w:val="00DD20D8"/>
    <w:rsid w:val="00DD2BA7"/>
    <w:rsid w:val="00DD681C"/>
    <w:rsid w:val="00DE0F55"/>
    <w:rsid w:val="00DE19DD"/>
    <w:rsid w:val="00DE4401"/>
    <w:rsid w:val="00DF0191"/>
    <w:rsid w:val="00DF33B4"/>
    <w:rsid w:val="00E024DF"/>
    <w:rsid w:val="00E03557"/>
    <w:rsid w:val="00E03898"/>
    <w:rsid w:val="00E15524"/>
    <w:rsid w:val="00E15CCF"/>
    <w:rsid w:val="00E2400D"/>
    <w:rsid w:val="00E27A95"/>
    <w:rsid w:val="00E32EB6"/>
    <w:rsid w:val="00E3356D"/>
    <w:rsid w:val="00E44F1C"/>
    <w:rsid w:val="00E47515"/>
    <w:rsid w:val="00E47BEB"/>
    <w:rsid w:val="00E47EE1"/>
    <w:rsid w:val="00E51BCC"/>
    <w:rsid w:val="00E5232C"/>
    <w:rsid w:val="00E5233B"/>
    <w:rsid w:val="00E62C84"/>
    <w:rsid w:val="00E62FC8"/>
    <w:rsid w:val="00E72155"/>
    <w:rsid w:val="00E737AC"/>
    <w:rsid w:val="00E73815"/>
    <w:rsid w:val="00E83459"/>
    <w:rsid w:val="00E83488"/>
    <w:rsid w:val="00E8426D"/>
    <w:rsid w:val="00E851B8"/>
    <w:rsid w:val="00E8723C"/>
    <w:rsid w:val="00E94025"/>
    <w:rsid w:val="00E962BD"/>
    <w:rsid w:val="00EA333F"/>
    <w:rsid w:val="00EB3030"/>
    <w:rsid w:val="00EB70AC"/>
    <w:rsid w:val="00EC0427"/>
    <w:rsid w:val="00EC1220"/>
    <w:rsid w:val="00EC23A9"/>
    <w:rsid w:val="00EC2451"/>
    <w:rsid w:val="00ED1723"/>
    <w:rsid w:val="00ED429F"/>
    <w:rsid w:val="00ED72ED"/>
    <w:rsid w:val="00EE184B"/>
    <w:rsid w:val="00EE22EF"/>
    <w:rsid w:val="00EE32FC"/>
    <w:rsid w:val="00EE3B9C"/>
    <w:rsid w:val="00EE6C38"/>
    <w:rsid w:val="00EE6D2F"/>
    <w:rsid w:val="00EF2825"/>
    <w:rsid w:val="00EF4B7D"/>
    <w:rsid w:val="00EF4F9D"/>
    <w:rsid w:val="00EF57FF"/>
    <w:rsid w:val="00EF613C"/>
    <w:rsid w:val="00EF6EC7"/>
    <w:rsid w:val="00F03233"/>
    <w:rsid w:val="00F20403"/>
    <w:rsid w:val="00F20E92"/>
    <w:rsid w:val="00F2669E"/>
    <w:rsid w:val="00F460EC"/>
    <w:rsid w:val="00F46B2B"/>
    <w:rsid w:val="00F51FBB"/>
    <w:rsid w:val="00F533D2"/>
    <w:rsid w:val="00F55619"/>
    <w:rsid w:val="00F57590"/>
    <w:rsid w:val="00F57976"/>
    <w:rsid w:val="00F6509D"/>
    <w:rsid w:val="00F762A0"/>
    <w:rsid w:val="00F77AC9"/>
    <w:rsid w:val="00F81E3C"/>
    <w:rsid w:val="00F81FF4"/>
    <w:rsid w:val="00F87A3B"/>
    <w:rsid w:val="00F968D5"/>
    <w:rsid w:val="00F975C8"/>
    <w:rsid w:val="00FA0DBC"/>
    <w:rsid w:val="00FA1ADC"/>
    <w:rsid w:val="00FA2E7B"/>
    <w:rsid w:val="00FA3D94"/>
    <w:rsid w:val="00FB3068"/>
    <w:rsid w:val="00FC4764"/>
    <w:rsid w:val="00FC7E65"/>
    <w:rsid w:val="00FD13AE"/>
    <w:rsid w:val="00FD223C"/>
    <w:rsid w:val="00FE28E3"/>
    <w:rsid w:val="00FE3B1D"/>
    <w:rsid w:val="00FE464F"/>
    <w:rsid w:val="00FF0DE5"/>
    <w:rsid w:val="00FF50D3"/>
    <w:rsid w:val="00FF7408"/>
    <w:rsid w:val="0D19E464"/>
    <w:rsid w:val="21E089AA"/>
    <w:rsid w:val="35165E0A"/>
    <w:rsid w:val="6F558A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E24CF"/>
  <w15:docId w15:val="{77432F05-BFD7-476D-A24D-67BF8709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iPriority="4" w:unhideWhenUsed="1" w:qFormat="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iPriority="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uiPriority w:val="1"/>
    <w:qFormat/>
    <w:rsid w:val="0031113C"/>
    <w:rPr>
      <w:rFonts w:ascii="Arial" w:hAnsi="Arial"/>
      <w:sz w:val="20"/>
    </w:rPr>
  </w:style>
  <w:style w:type="paragraph" w:styleId="Heading1">
    <w:name w:val="heading 1"/>
    <w:basedOn w:val="Normal"/>
    <w:next w:val="Normal"/>
    <w:link w:val="Heading1Char"/>
    <w:qFormat/>
    <w:rsid w:val="00D23E2E"/>
    <w:pPr>
      <w:keepNext/>
      <w:keepLines/>
      <w:pBdr>
        <w:bottom w:val="single" w:sz="4" w:space="1" w:color="2C6DA6" w:themeColor="accent2"/>
      </w:pBdr>
      <w:spacing w:before="360" w:after="360" w:line="240" w:lineRule="auto"/>
      <w:outlineLvl w:val="0"/>
    </w:pPr>
    <w:rPr>
      <w:rFonts w:eastAsiaTheme="majorEastAsia" w:cstheme="majorBidi"/>
      <w:color w:val="2C6DA6" w:themeColor="accent2"/>
      <w:sz w:val="52"/>
      <w:szCs w:val="32"/>
    </w:rPr>
  </w:style>
  <w:style w:type="paragraph" w:styleId="Heading2">
    <w:name w:val="heading 2"/>
    <w:basedOn w:val="Normal"/>
    <w:next w:val="Normal"/>
    <w:link w:val="Heading2Char"/>
    <w:qFormat/>
    <w:rsid w:val="0031113C"/>
    <w:pPr>
      <w:keepNext/>
      <w:keepLines/>
      <w:spacing w:before="120" w:after="240" w:line="240" w:lineRule="auto"/>
      <w:outlineLvl w:val="1"/>
    </w:pPr>
    <w:rPr>
      <w:rFonts w:eastAsiaTheme="majorEastAsia" w:cstheme="majorBidi"/>
      <w:b/>
      <w:color w:val="003E6A"/>
      <w:sz w:val="32"/>
      <w:szCs w:val="26"/>
    </w:rPr>
  </w:style>
  <w:style w:type="paragraph" w:styleId="Heading3">
    <w:name w:val="heading 3"/>
    <w:basedOn w:val="Normal"/>
    <w:next w:val="Normal"/>
    <w:link w:val="Heading3Char"/>
    <w:qFormat/>
    <w:rsid w:val="00736959"/>
    <w:pPr>
      <w:keepNext/>
      <w:keepLines/>
      <w:spacing w:before="120" w:after="240" w:line="240" w:lineRule="auto"/>
      <w:outlineLvl w:val="2"/>
    </w:pPr>
    <w:rPr>
      <w:rFonts w:eastAsiaTheme="majorEastAsia" w:cstheme="majorBidi"/>
      <w:b/>
      <w:color w:val="05A285" w:themeColor="accent3"/>
      <w:sz w:val="28"/>
      <w:szCs w:val="24"/>
    </w:rPr>
  </w:style>
  <w:style w:type="paragraph" w:styleId="Heading4">
    <w:name w:val="heading 4"/>
    <w:basedOn w:val="Normal"/>
    <w:next w:val="Normal"/>
    <w:link w:val="Heading4Char"/>
    <w:uiPriority w:val="9"/>
    <w:unhideWhenUsed/>
    <w:rsid w:val="00102C58"/>
    <w:pPr>
      <w:keepNext/>
      <w:keepLines/>
      <w:spacing w:before="200" w:after="0"/>
      <w:outlineLvl w:val="3"/>
    </w:pPr>
    <w:rPr>
      <w:rFonts w:asciiTheme="majorHAnsi" w:eastAsiaTheme="majorEastAsia" w:hAnsiTheme="majorHAnsi" w:cstheme="majorBidi"/>
      <w:b/>
      <w:bCs/>
      <w:i/>
      <w:iCs/>
      <w:color w:val="293272" w:themeColor="accent1"/>
    </w:rPr>
  </w:style>
  <w:style w:type="paragraph" w:styleId="Heading5">
    <w:name w:val="heading 5"/>
    <w:basedOn w:val="Normal"/>
    <w:next w:val="Normal"/>
    <w:link w:val="Heading5Char"/>
    <w:uiPriority w:val="9"/>
    <w:semiHidden/>
    <w:qFormat/>
    <w:rsid w:val="0031113C"/>
    <w:pPr>
      <w:keepNext/>
      <w:keepLines/>
      <w:spacing w:before="40" w:after="0"/>
      <w:outlineLvl w:val="4"/>
    </w:pPr>
    <w:rPr>
      <w:rFonts w:asciiTheme="majorHAnsi" w:eastAsiaTheme="majorEastAsia" w:hAnsiTheme="majorHAnsi" w:cstheme="majorBidi"/>
      <w:color w:val="1E2555" w:themeColor="accent1" w:themeShade="BF"/>
    </w:rPr>
  </w:style>
  <w:style w:type="paragraph" w:styleId="Heading6">
    <w:name w:val="heading 6"/>
    <w:basedOn w:val="Normal"/>
    <w:next w:val="Normal"/>
    <w:link w:val="Heading6Char"/>
    <w:uiPriority w:val="9"/>
    <w:semiHidden/>
    <w:qFormat/>
    <w:rsid w:val="0031113C"/>
    <w:pPr>
      <w:keepNext/>
      <w:keepLines/>
      <w:spacing w:before="40" w:after="0"/>
      <w:outlineLvl w:val="5"/>
    </w:pPr>
    <w:rPr>
      <w:rFonts w:asciiTheme="majorHAnsi" w:eastAsiaTheme="majorEastAsia" w:hAnsiTheme="majorHAnsi" w:cstheme="majorBidi"/>
      <w:color w:val="141838" w:themeColor="accent1" w:themeShade="7F"/>
    </w:rPr>
  </w:style>
  <w:style w:type="paragraph" w:styleId="Heading7">
    <w:name w:val="heading 7"/>
    <w:basedOn w:val="Normal"/>
    <w:next w:val="Normal"/>
    <w:link w:val="Heading7Char"/>
    <w:uiPriority w:val="9"/>
    <w:semiHidden/>
    <w:qFormat/>
    <w:rsid w:val="0031113C"/>
    <w:pPr>
      <w:keepNext/>
      <w:keepLines/>
      <w:spacing w:before="40" w:after="0"/>
      <w:outlineLvl w:val="6"/>
    </w:pPr>
    <w:rPr>
      <w:rFonts w:asciiTheme="majorHAnsi" w:eastAsiaTheme="majorEastAsia" w:hAnsiTheme="majorHAnsi" w:cstheme="majorBidi"/>
      <w:i/>
      <w:iCs/>
      <w:color w:val="141838" w:themeColor="accent1" w:themeShade="7F"/>
    </w:rPr>
  </w:style>
  <w:style w:type="paragraph" w:styleId="Heading8">
    <w:name w:val="heading 8"/>
    <w:basedOn w:val="Normal"/>
    <w:next w:val="Normal"/>
    <w:link w:val="Heading8Char"/>
    <w:uiPriority w:val="9"/>
    <w:semiHidden/>
    <w:qFormat/>
    <w:rsid w:val="0031113C"/>
    <w:pPr>
      <w:keepNext/>
      <w:keepLines/>
      <w:spacing w:before="40" w:after="0"/>
      <w:outlineLvl w:val="7"/>
    </w:pPr>
    <w:rPr>
      <w:rFonts w:asciiTheme="majorHAnsi" w:eastAsiaTheme="majorEastAsia" w:hAnsiTheme="majorHAnsi" w:cstheme="majorBidi"/>
      <w:color w:val="FFFFFF" w:themeColor="text1" w:themeTint="D8"/>
      <w:sz w:val="21"/>
      <w:szCs w:val="21"/>
    </w:rPr>
  </w:style>
  <w:style w:type="paragraph" w:styleId="Heading9">
    <w:name w:val="heading 9"/>
    <w:basedOn w:val="Normal"/>
    <w:next w:val="Normal"/>
    <w:link w:val="Heading9Char"/>
    <w:uiPriority w:val="9"/>
    <w:semiHidden/>
    <w:qFormat/>
    <w:rsid w:val="0031113C"/>
    <w:pPr>
      <w:keepNext/>
      <w:keepLines/>
      <w:spacing w:before="40" w:after="0"/>
      <w:outlineLvl w:val="8"/>
    </w:pPr>
    <w:rPr>
      <w:rFonts w:asciiTheme="majorHAnsi" w:eastAsiaTheme="majorEastAsia" w:hAnsiTheme="majorHAnsi" w:cstheme="majorBidi"/>
      <w:i/>
      <w:iCs/>
      <w:color w:val="FFFFF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3E2E"/>
    <w:rPr>
      <w:rFonts w:ascii="Arial" w:eastAsiaTheme="majorEastAsia" w:hAnsi="Arial" w:cstheme="majorBidi"/>
      <w:color w:val="2C6DA6" w:themeColor="accent2"/>
      <w:sz w:val="52"/>
      <w:szCs w:val="32"/>
    </w:rPr>
  </w:style>
  <w:style w:type="character" w:customStyle="1" w:styleId="Heading2Char">
    <w:name w:val="Heading 2 Char"/>
    <w:basedOn w:val="DefaultParagraphFont"/>
    <w:link w:val="Heading2"/>
    <w:rsid w:val="0031113C"/>
    <w:rPr>
      <w:rFonts w:ascii="Arial" w:eastAsiaTheme="majorEastAsia" w:hAnsi="Arial" w:cstheme="majorBidi"/>
      <w:b/>
      <w:color w:val="003E6A"/>
      <w:sz w:val="32"/>
      <w:szCs w:val="26"/>
    </w:rPr>
  </w:style>
  <w:style w:type="character" w:customStyle="1" w:styleId="Heading3Char">
    <w:name w:val="Heading 3 Char"/>
    <w:basedOn w:val="DefaultParagraphFont"/>
    <w:link w:val="Heading3"/>
    <w:rsid w:val="00736959"/>
    <w:rPr>
      <w:rFonts w:ascii="Arial" w:eastAsiaTheme="majorEastAsia" w:hAnsi="Arial" w:cstheme="majorBidi"/>
      <w:b/>
      <w:color w:val="05A285" w:themeColor="accent3"/>
      <w:sz w:val="28"/>
      <w:szCs w:val="24"/>
    </w:rPr>
  </w:style>
  <w:style w:type="paragraph" w:styleId="NoSpacing">
    <w:name w:val="No Spacing"/>
    <w:uiPriority w:val="1"/>
    <w:rsid w:val="009C7B11"/>
    <w:pPr>
      <w:spacing w:after="0" w:line="240" w:lineRule="auto"/>
    </w:pPr>
    <w:rPr>
      <w:rFonts w:eastAsia="Arial" w:cs="Times New Roman"/>
      <w:sz w:val="20"/>
      <w:szCs w:val="24"/>
    </w:rPr>
  </w:style>
  <w:style w:type="table" w:styleId="TableGrid">
    <w:name w:val="Table Grid"/>
    <w:basedOn w:val="TableNormal"/>
    <w:uiPriority w:val="59"/>
    <w:rsid w:val="0065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text"/>
    <w:basedOn w:val="Normal"/>
    <w:link w:val="ListParagraphChar"/>
    <w:uiPriority w:val="34"/>
    <w:qFormat/>
    <w:rsid w:val="00102C58"/>
    <w:pPr>
      <w:ind w:left="720"/>
      <w:contextualSpacing/>
    </w:pPr>
  </w:style>
  <w:style w:type="character" w:styleId="BookTitle">
    <w:name w:val="Book Title"/>
    <w:basedOn w:val="DefaultParagraphFont"/>
    <w:uiPriority w:val="33"/>
    <w:rsid w:val="00102C58"/>
    <w:rPr>
      <w:b/>
      <w:bCs/>
      <w:smallCaps/>
      <w:spacing w:val="5"/>
    </w:rPr>
  </w:style>
  <w:style w:type="character" w:styleId="IntenseReference">
    <w:name w:val="Intense Reference"/>
    <w:basedOn w:val="DefaultParagraphFont"/>
    <w:uiPriority w:val="32"/>
    <w:rsid w:val="00102C58"/>
    <w:rPr>
      <w:b/>
      <w:bCs/>
      <w:smallCaps/>
      <w:color w:val="2C6DA6" w:themeColor="accent2"/>
      <w:spacing w:val="5"/>
      <w:u w:val="single"/>
    </w:rPr>
  </w:style>
  <w:style w:type="character" w:styleId="SubtleReference">
    <w:name w:val="Subtle Reference"/>
    <w:basedOn w:val="DefaultParagraphFont"/>
    <w:uiPriority w:val="31"/>
    <w:rsid w:val="00102C58"/>
    <w:rPr>
      <w:smallCaps/>
      <w:color w:val="2C6DA6" w:themeColor="accent2"/>
      <w:u w:val="single"/>
    </w:rPr>
  </w:style>
  <w:style w:type="paragraph" w:customStyle="1" w:styleId="FooterWebAddress">
    <w:name w:val="Footer Web Address"/>
    <w:basedOn w:val="Heading4"/>
    <w:link w:val="FooterWebAddressChar"/>
    <w:uiPriority w:val="6"/>
    <w:qFormat/>
    <w:rsid w:val="0031113C"/>
    <w:pPr>
      <w:spacing w:after="120" w:line="276" w:lineRule="auto"/>
    </w:pPr>
    <w:rPr>
      <w:rFonts w:ascii="Arial" w:hAnsi="Arial" w:cs="Arial"/>
      <w:i w:val="0"/>
      <w:color w:val="003E6A"/>
      <w:sz w:val="18"/>
      <w:szCs w:val="24"/>
    </w:rPr>
  </w:style>
  <w:style w:type="paragraph" w:customStyle="1" w:styleId="BulletLevel1">
    <w:name w:val="Bullet Level 1"/>
    <w:basedOn w:val="ListParagraph"/>
    <w:link w:val="BulletLevel1Char"/>
    <w:uiPriority w:val="5"/>
    <w:rsid w:val="00217849"/>
    <w:pPr>
      <w:numPr>
        <w:numId w:val="1"/>
      </w:numPr>
    </w:pPr>
  </w:style>
  <w:style w:type="character" w:customStyle="1" w:styleId="FooterWebAddressChar">
    <w:name w:val="Footer Web Address Char"/>
    <w:basedOn w:val="Heading4Char"/>
    <w:link w:val="FooterWebAddress"/>
    <w:uiPriority w:val="6"/>
    <w:rsid w:val="0031113C"/>
    <w:rPr>
      <w:rFonts w:ascii="Arial" w:eastAsiaTheme="majorEastAsia" w:hAnsi="Arial" w:cs="Arial"/>
      <w:b/>
      <w:bCs/>
      <w:i w:val="0"/>
      <w:iCs/>
      <w:color w:val="003E6A"/>
      <w:sz w:val="18"/>
      <w:szCs w:val="24"/>
    </w:rPr>
  </w:style>
  <w:style w:type="paragraph" w:customStyle="1" w:styleId="BulletLevel2">
    <w:name w:val="Bullet Level 2"/>
    <w:basedOn w:val="ListParagraph"/>
    <w:link w:val="BulletLevel2Char"/>
    <w:uiPriority w:val="6"/>
    <w:rsid w:val="00217849"/>
    <w:pPr>
      <w:numPr>
        <w:ilvl w:val="1"/>
        <w:numId w:val="1"/>
      </w:numPr>
    </w:pPr>
  </w:style>
  <w:style w:type="character" w:customStyle="1" w:styleId="Heading4Char">
    <w:name w:val="Heading 4 Char"/>
    <w:basedOn w:val="DefaultParagraphFont"/>
    <w:link w:val="Heading4"/>
    <w:uiPriority w:val="9"/>
    <w:rsid w:val="00102C58"/>
    <w:rPr>
      <w:rFonts w:asciiTheme="majorHAnsi" w:eastAsiaTheme="majorEastAsia" w:hAnsiTheme="majorHAnsi" w:cstheme="majorBidi"/>
      <w:b/>
      <w:bCs/>
      <w:i/>
      <w:iCs/>
      <w:color w:val="293272" w:themeColor="accent1"/>
      <w:sz w:val="20"/>
      <w:szCs w:val="24"/>
    </w:rPr>
  </w:style>
  <w:style w:type="character" w:customStyle="1" w:styleId="Heading5Char">
    <w:name w:val="Heading 5 Char"/>
    <w:basedOn w:val="DefaultParagraphFont"/>
    <w:link w:val="Heading5"/>
    <w:uiPriority w:val="9"/>
    <w:semiHidden/>
    <w:rsid w:val="0031113C"/>
    <w:rPr>
      <w:rFonts w:asciiTheme="majorHAnsi" w:eastAsiaTheme="majorEastAsia" w:hAnsiTheme="majorHAnsi" w:cstheme="majorBidi"/>
      <w:color w:val="1E2555" w:themeColor="accent1" w:themeShade="BF"/>
      <w:sz w:val="20"/>
    </w:rPr>
  </w:style>
  <w:style w:type="paragraph" w:styleId="IntenseQuote">
    <w:name w:val="Intense Quote"/>
    <w:basedOn w:val="Normal"/>
    <w:next w:val="Normal"/>
    <w:link w:val="IntenseQuoteChar"/>
    <w:uiPriority w:val="30"/>
    <w:rsid w:val="00102C58"/>
    <w:pPr>
      <w:pBdr>
        <w:bottom w:val="single" w:sz="4" w:space="4" w:color="293272" w:themeColor="accent1"/>
      </w:pBdr>
      <w:spacing w:before="200" w:after="280"/>
      <w:ind w:left="936" w:right="936"/>
    </w:pPr>
    <w:rPr>
      <w:b/>
      <w:bCs/>
      <w:i/>
      <w:iCs/>
      <w:color w:val="293272" w:themeColor="accent1"/>
    </w:rPr>
  </w:style>
  <w:style w:type="character" w:customStyle="1" w:styleId="IntenseQuoteChar">
    <w:name w:val="Intense Quote Char"/>
    <w:basedOn w:val="DefaultParagraphFont"/>
    <w:link w:val="IntenseQuote"/>
    <w:uiPriority w:val="30"/>
    <w:rsid w:val="00102C58"/>
    <w:rPr>
      <w:rFonts w:eastAsia="Arial" w:cs="Times New Roman"/>
      <w:b/>
      <w:bCs/>
      <w:i/>
      <w:iCs/>
      <w:color w:val="293272" w:themeColor="accent1"/>
      <w:sz w:val="20"/>
      <w:szCs w:val="24"/>
    </w:rPr>
  </w:style>
  <w:style w:type="paragraph" w:styleId="Quote">
    <w:name w:val="Quote"/>
    <w:basedOn w:val="Normal"/>
    <w:next w:val="Normal"/>
    <w:link w:val="QuoteChar"/>
    <w:uiPriority w:val="29"/>
    <w:rsid w:val="00102C58"/>
    <w:rPr>
      <w:i/>
      <w:iCs/>
      <w:color w:val="FFFFFF" w:themeColor="text1"/>
    </w:rPr>
  </w:style>
  <w:style w:type="character" w:customStyle="1" w:styleId="QuoteChar">
    <w:name w:val="Quote Char"/>
    <w:basedOn w:val="DefaultParagraphFont"/>
    <w:link w:val="Quote"/>
    <w:uiPriority w:val="29"/>
    <w:rsid w:val="00102C58"/>
    <w:rPr>
      <w:rFonts w:eastAsia="Arial" w:cs="Times New Roman"/>
      <w:i/>
      <w:iCs/>
      <w:color w:val="FFFFFF" w:themeColor="text1"/>
      <w:sz w:val="20"/>
      <w:szCs w:val="24"/>
    </w:rPr>
  </w:style>
  <w:style w:type="character" w:styleId="IntenseEmphasis">
    <w:name w:val="Intense Emphasis"/>
    <w:basedOn w:val="DefaultParagraphFont"/>
    <w:uiPriority w:val="21"/>
    <w:rsid w:val="00102C58"/>
    <w:rPr>
      <w:b/>
      <w:bCs/>
      <w:i/>
      <w:iCs/>
      <w:color w:val="293272" w:themeColor="accent1"/>
    </w:rPr>
  </w:style>
  <w:style w:type="character" w:styleId="SubtleEmphasis">
    <w:name w:val="Subtle Emphasis"/>
    <w:aliases w:val="Body bold emphasis"/>
    <w:basedOn w:val="DefaultParagraphFont"/>
    <w:uiPriority w:val="2"/>
    <w:qFormat/>
    <w:rsid w:val="000B675C"/>
    <w:rPr>
      <w:rFonts w:ascii="Segoe UI Emoji" w:hAnsi="Segoe UI Emoji" w:cs="Segoe UI Emoji"/>
      <w:b/>
      <w:bCs/>
      <w:iCs/>
      <w:color w:val="00B0F0"/>
      <w:sz w:val="22"/>
      <w:szCs w:val="24"/>
    </w:rPr>
  </w:style>
  <w:style w:type="paragraph" w:styleId="Header">
    <w:name w:val="header"/>
    <w:basedOn w:val="Normal"/>
    <w:link w:val="HeaderChar"/>
    <w:uiPriority w:val="99"/>
    <w:unhideWhenUsed/>
    <w:rsid w:val="00102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C58"/>
    <w:rPr>
      <w:rFonts w:eastAsia="Arial" w:cs="Times New Roman"/>
      <w:sz w:val="20"/>
      <w:szCs w:val="24"/>
    </w:rPr>
  </w:style>
  <w:style w:type="paragraph" w:styleId="Footer">
    <w:name w:val="footer"/>
    <w:basedOn w:val="Normal"/>
    <w:link w:val="FooterChar"/>
    <w:uiPriority w:val="99"/>
    <w:unhideWhenUsed/>
    <w:rsid w:val="00102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C58"/>
    <w:rPr>
      <w:rFonts w:eastAsia="Arial" w:cs="Times New Roman"/>
      <w:sz w:val="20"/>
      <w:szCs w:val="24"/>
    </w:rPr>
  </w:style>
  <w:style w:type="character" w:styleId="Strong">
    <w:name w:val="Strong"/>
    <w:aliases w:val="Footer URL,body text bold"/>
    <w:basedOn w:val="DefaultParagraphFont"/>
    <w:uiPriority w:val="22"/>
    <w:qFormat/>
    <w:rsid w:val="0031113C"/>
    <w:rPr>
      <w:rFonts w:ascii="Arial" w:hAnsi="Arial"/>
      <w:b/>
      <w:bCs/>
      <w:color w:val="003E6A"/>
      <w:sz w:val="18"/>
    </w:rPr>
  </w:style>
  <w:style w:type="character" w:customStyle="1" w:styleId="ListParagraphChar">
    <w:name w:val="List Paragraph Char"/>
    <w:aliases w:val="Body text Char"/>
    <w:basedOn w:val="DefaultParagraphFont"/>
    <w:link w:val="ListParagraph"/>
    <w:rsid w:val="00217849"/>
    <w:rPr>
      <w:rFonts w:eastAsia="Arial" w:cs="Times New Roman"/>
      <w:sz w:val="20"/>
      <w:szCs w:val="24"/>
    </w:rPr>
  </w:style>
  <w:style w:type="character" w:customStyle="1" w:styleId="BulletLevel1Char">
    <w:name w:val="Bullet Level 1 Char"/>
    <w:basedOn w:val="ListParagraphChar"/>
    <w:link w:val="BulletLevel1"/>
    <w:uiPriority w:val="5"/>
    <w:rsid w:val="00217849"/>
    <w:rPr>
      <w:rFonts w:ascii="Arial" w:eastAsia="Arial" w:hAnsi="Arial" w:cs="Times New Roman"/>
      <w:sz w:val="20"/>
      <w:szCs w:val="24"/>
    </w:rPr>
  </w:style>
  <w:style w:type="paragraph" w:customStyle="1" w:styleId="BulletLevel3">
    <w:name w:val="Bullet Level 3"/>
    <w:basedOn w:val="ListParagraph"/>
    <w:link w:val="BulletLevel3Char"/>
    <w:uiPriority w:val="6"/>
    <w:rsid w:val="00217849"/>
    <w:pPr>
      <w:numPr>
        <w:ilvl w:val="2"/>
        <w:numId w:val="1"/>
      </w:numPr>
    </w:pPr>
  </w:style>
  <w:style w:type="character" w:customStyle="1" w:styleId="BulletLevel2Char">
    <w:name w:val="Bullet Level 2 Char"/>
    <w:basedOn w:val="ListParagraphChar"/>
    <w:link w:val="BulletLevel2"/>
    <w:uiPriority w:val="6"/>
    <w:rsid w:val="00217849"/>
    <w:rPr>
      <w:rFonts w:ascii="Arial" w:eastAsia="Arial" w:hAnsi="Arial" w:cs="Times New Roman"/>
      <w:sz w:val="20"/>
      <w:szCs w:val="24"/>
    </w:rPr>
  </w:style>
  <w:style w:type="character" w:customStyle="1" w:styleId="BulletLevel3Char">
    <w:name w:val="Bullet Level 3 Char"/>
    <w:basedOn w:val="ListParagraphChar"/>
    <w:link w:val="BulletLevel3"/>
    <w:uiPriority w:val="6"/>
    <w:rsid w:val="00217849"/>
    <w:rPr>
      <w:rFonts w:ascii="Arial" w:eastAsia="Arial" w:hAnsi="Arial" w:cs="Times New Roman"/>
      <w:sz w:val="20"/>
      <w:szCs w:val="24"/>
    </w:rPr>
  </w:style>
  <w:style w:type="paragraph" w:customStyle="1" w:styleId="Bullets">
    <w:name w:val="Bullets"/>
    <w:basedOn w:val="Normal"/>
    <w:next w:val="Normal"/>
    <w:rsid w:val="00A0299C"/>
    <w:pPr>
      <w:numPr>
        <w:numId w:val="2"/>
      </w:numPr>
    </w:pPr>
    <w:rPr>
      <w:rFonts w:ascii="Helvetica LT Std Light" w:hAnsi="Helvetica LT Std Light"/>
    </w:rPr>
  </w:style>
  <w:style w:type="paragraph" w:customStyle="1" w:styleId="BasicParagraph">
    <w:name w:val="[Basic Paragraph]"/>
    <w:basedOn w:val="Normal"/>
    <w:link w:val="BasicParagraphChar"/>
    <w:uiPriority w:val="99"/>
    <w:rsid w:val="00A0299C"/>
    <w:pPr>
      <w:widowControl w:val="0"/>
      <w:autoSpaceDE w:val="0"/>
      <w:autoSpaceDN w:val="0"/>
      <w:adjustRightInd w:val="0"/>
      <w:spacing w:line="288" w:lineRule="auto"/>
      <w:textAlignment w:val="center"/>
    </w:pPr>
    <w:rPr>
      <w:rFonts w:ascii="Times-Roman" w:hAnsi="Times-Roman" w:cs="Times-Roman"/>
      <w:color w:val="000000"/>
      <w:sz w:val="24"/>
    </w:rPr>
  </w:style>
  <w:style w:type="character" w:customStyle="1" w:styleId="BasicParagraphChar">
    <w:name w:val="[Basic Paragraph] Char"/>
    <w:basedOn w:val="DefaultParagraphFont"/>
    <w:link w:val="BasicParagraph"/>
    <w:uiPriority w:val="99"/>
    <w:rsid w:val="00A0299C"/>
    <w:rPr>
      <w:rFonts w:ascii="Times-Roman" w:eastAsia="Arial" w:hAnsi="Times-Roman" w:cs="Times-Roman"/>
      <w:color w:val="000000"/>
      <w:sz w:val="24"/>
      <w:szCs w:val="24"/>
    </w:rPr>
  </w:style>
  <w:style w:type="paragraph" w:customStyle="1" w:styleId="BodyBold">
    <w:name w:val="Body Bold"/>
    <w:basedOn w:val="Normal"/>
    <w:link w:val="BodyBoldChar"/>
    <w:rsid w:val="008917D7"/>
    <w:pPr>
      <w:spacing w:after="200"/>
    </w:pPr>
    <w:rPr>
      <w:b/>
    </w:rPr>
  </w:style>
  <w:style w:type="paragraph" w:customStyle="1" w:styleId="BodyItalic">
    <w:name w:val="Body Italic"/>
    <w:basedOn w:val="Normal"/>
    <w:link w:val="BodyItalicChar"/>
    <w:rsid w:val="008917D7"/>
    <w:pPr>
      <w:spacing w:after="200"/>
    </w:pPr>
    <w:rPr>
      <w:i/>
    </w:rPr>
  </w:style>
  <w:style w:type="character" w:customStyle="1" w:styleId="BodyBoldChar">
    <w:name w:val="Body Bold Char"/>
    <w:basedOn w:val="DefaultParagraphFont"/>
    <w:link w:val="BodyBold"/>
    <w:rsid w:val="008917D7"/>
    <w:rPr>
      <w:rFonts w:eastAsia="Arial" w:cs="Times New Roman"/>
      <w:b/>
      <w:sz w:val="20"/>
      <w:szCs w:val="24"/>
    </w:rPr>
  </w:style>
  <w:style w:type="character" w:customStyle="1" w:styleId="BodyItalicChar">
    <w:name w:val="Body Italic Char"/>
    <w:basedOn w:val="DefaultParagraphFont"/>
    <w:link w:val="BodyItalic"/>
    <w:rsid w:val="008917D7"/>
    <w:rPr>
      <w:rFonts w:eastAsia="Arial" w:cs="Times New Roman"/>
      <w:i/>
      <w:sz w:val="20"/>
      <w:szCs w:val="24"/>
    </w:rPr>
  </w:style>
  <w:style w:type="paragraph" w:customStyle="1" w:styleId="Subheadingdarkblue">
    <w:name w:val="Subheading dark blue"/>
    <w:link w:val="SubheadingdarkblueChar"/>
    <w:rsid w:val="00D64669"/>
    <w:pPr>
      <w:spacing w:before="240" w:after="120" w:line="240" w:lineRule="auto"/>
    </w:pPr>
    <w:rPr>
      <w:rFonts w:ascii="Arial" w:eastAsiaTheme="majorEastAsia" w:hAnsi="Arial" w:cstheme="majorBidi"/>
      <w:b/>
      <w:bCs/>
      <w:color w:val="74777B" w:themeColor="text2"/>
      <w:sz w:val="28"/>
      <w:szCs w:val="24"/>
    </w:rPr>
  </w:style>
  <w:style w:type="character" w:customStyle="1" w:styleId="SubheadingdarkblueChar">
    <w:name w:val="Subheading dark blue Char"/>
    <w:basedOn w:val="DefaultParagraphFont"/>
    <w:link w:val="Subheadingdarkblue"/>
    <w:rsid w:val="00D64669"/>
    <w:rPr>
      <w:rFonts w:ascii="Arial" w:eastAsiaTheme="majorEastAsia" w:hAnsi="Arial" w:cstheme="majorBidi"/>
      <w:b/>
      <w:bCs/>
      <w:color w:val="74777B" w:themeColor="text2"/>
      <w:sz w:val="28"/>
      <w:szCs w:val="24"/>
    </w:rPr>
  </w:style>
  <w:style w:type="paragraph" w:customStyle="1" w:styleId="StyleHyperlinkBold1">
    <w:name w:val="Style Hyperlink + Bold1"/>
    <w:basedOn w:val="Normal"/>
    <w:autoRedefine/>
    <w:uiPriority w:val="1"/>
    <w:rsid w:val="00221D7B"/>
    <w:pPr>
      <w:spacing w:after="0" w:line="240" w:lineRule="auto"/>
    </w:pPr>
    <w:rPr>
      <w:b/>
      <w:bCs/>
    </w:rPr>
  </w:style>
  <w:style w:type="paragraph" w:customStyle="1" w:styleId="Bodybold0">
    <w:name w:val="Body bold"/>
    <w:basedOn w:val="Normal"/>
    <w:uiPriority w:val="2"/>
    <w:qFormat/>
    <w:rsid w:val="0031113C"/>
    <w:rPr>
      <w:b/>
    </w:rPr>
  </w:style>
  <w:style w:type="paragraph" w:customStyle="1" w:styleId="Firstparagraph">
    <w:name w:val="First paragraph"/>
    <w:basedOn w:val="Normal"/>
    <w:link w:val="FirstparagraphChar"/>
    <w:uiPriority w:val="1"/>
    <w:qFormat/>
    <w:rsid w:val="0031113C"/>
    <w:pPr>
      <w:spacing w:line="264" w:lineRule="auto"/>
    </w:pPr>
    <w:rPr>
      <w:sz w:val="24"/>
    </w:rPr>
  </w:style>
  <w:style w:type="character" w:customStyle="1" w:styleId="FirstparagraphChar">
    <w:name w:val="First paragraph Char"/>
    <w:basedOn w:val="DefaultParagraphFont"/>
    <w:link w:val="Firstparagraph"/>
    <w:uiPriority w:val="1"/>
    <w:rsid w:val="0031113C"/>
    <w:rPr>
      <w:rFonts w:ascii="Arial" w:hAnsi="Arial"/>
      <w:sz w:val="24"/>
    </w:rPr>
  </w:style>
  <w:style w:type="character" w:customStyle="1" w:styleId="Heading6Char">
    <w:name w:val="Heading 6 Char"/>
    <w:basedOn w:val="DefaultParagraphFont"/>
    <w:link w:val="Heading6"/>
    <w:uiPriority w:val="9"/>
    <w:semiHidden/>
    <w:rsid w:val="0031113C"/>
    <w:rPr>
      <w:rFonts w:asciiTheme="majorHAnsi" w:eastAsiaTheme="majorEastAsia" w:hAnsiTheme="majorHAnsi" w:cstheme="majorBidi"/>
      <w:color w:val="141838" w:themeColor="accent1" w:themeShade="7F"/>
      <w:sz w:val="20"/>
    </w:rPr>
  </w:style>
  <w:style w:type="character" w:customStyle="1" w:styleId="Heading7Char">
    <w:name w:val="Heading 7 Char"/>
    <w:basedOn w:val="DefaultParagraphFont"/>
    <w:link w:val="Heading7"/>
    <w:uiPriority w:val="9"/>
    <w:semiHidden/>
    <w:rsid w:val="0031113C"/>
    <w:rPr>
      <w:rFonts w:asciiTheme="majorHAnsi" w:eastAsiaTheme="majorEastAsia" w:hAnsiTheme="majorHAnsi" w:cstheme="majorBidi"/>
      <w:i/>
      <w:iCs/>
      <w:color w:val="141838" w:themeColor="accent1" w:themeShade="7F"/>
      <w:sz w:val="20"/>
    </w:rPr>
  </w:style>
  <w:style w:type="character" w:customStyle="1" w:styleId="Heading8Char">
    <w:name w:val="Heading 8 Char"/>
    <w:basedOn w:val="DefaultParagraphFont"/>
    <w:link w:val="Heading8"/>
    <w:uiPriority w:val="9"/>
    <w:semiHidden/>
    <w:rsid w:val="0031113C"/>
    <w:rPr>
      <w:rFonts w:asciiTheme="majorHAnsi" w:eastAsiaTheme="majorEastAsia" w:hAnsiTheme="majorHAnsi" w:cstheme="majorBidi"/>
      <w:color w:val="FFFFFF" w:themeColor="text1" w:themeTint="D8"/>
      <w:sz w:val="21"/>
      <w:szCs w:val="21"/>
    </w:rPr>
  </w:style>
  <w:style w:type="character" w:customStyle="1" w:styleId="Heading9Char">
    <w:name w:val="Heading 9 Char"/>
    <w:basedOn w:val="DefaultParagraphFont"/>
    <w:link w:val="Heading9"/>
    <w:uiPriority w:val="9"/>
    <w:semiHidden/>
    <w:rsid w:val="0031113C"/>
    <w:rPr>
      <w:rFonts w:asciiTheme="majorHAnsi" w:eastAsiaTheme="majorEastAsia" w:hAnsiTheme="majorHAnsi" w:cstheme="majorBidi"/>
      <w:i/>
      <w:iCs/>
      <w:color w:val="FFFFFF" w:themeColor="text1" w:themeTint="D8"/>
      <w:sz w:val="21"/>
      <w:szCs w:val="21"/>
    </w:rPr>
  </w:style>
  <w:style w:type="paragraph" w:styleId="FootnoteText">
    <w:name w:val="footnote text"/>
    <w:basedOn w:val="Normal"/>
    <w:link w:val="FootnoteTextChar"/>
    <w:uiPriority w:val="99"/>
    <w:semiHidden/>
    <w:qFormat/>
    <w:rsid w:val="0031113C"/>
    <w:pPr>
      <w:spacing w:after="0" w:line="240" w:lineRule="auto"/>
    </w:pPr>
    <w:rPr>
      <w:szCs w:val="20"/>
      <w:vertAlign w:val="superscript"/>
    </w:rPr>
  </w:style>
  <w:style w:type="character" w:customStyle="1" w:styleId="FootnoteTextChar">
    <w:name w:val="Footnote Text Char"/>
    <w:basedOn w:val="DefaultParagraphFont"/>
    <w:link w:val="FootnoteText"/>
    <w:uiPriority w:val="99"/>
    <w:semiHidden/>
    <w:rsid w:val="0031113C"/>
    <w:rPr>
      <w:rFonts w:ascii="Arial" w:hAnsi="Arial"/>
      <w:sz w:val="20"/>
      <w:szCs w:val="20"/>
      <w:vertAlign w:val="superscript"/>
    </w:rPr>
  </w:style>
  <w:style w:type="paragraph" w:styleId="Caption">
    <w:name w:val="caption"/>
    <w:basedOn w:val="Normal"/>
    <w:next w:val="Normal"/>
    <w:uiPriority w:val="35"/>
    <w:semiHidden/>
    <w:qFormat/>
    <w:rsid w:val="0031113C"/>
    <w:pPr>
      <w:spacing w:after="200" w:line="240" w:lineRule="auto"/>
    </w:pPr>
    <w:rPr>
      <w:i/>
      <w:iCs/>
      <w:color w:val="74777B" w:themeColor="text2"/>
      <w:sz w:val="18"/>
      <w:szCs w:val="18"/>
    </w:rPr>
  </w:style>
  <w:style w:type="paragraph" w:styleId="ListBullet">
    <w:name w:val="List Bullet"/>
    <w:basedOn w:val="Normal"/>
    <w:uiPriority w:val="4"/>
    <w:qFormat/>
    <w:rsid w:val="003A0D70"/>
    <w:pPr>
      <w:numPr>
        <w:numId w:val="3"/>
      </w:numPr>
      <w:spacing w:before="120" w:after="120" w:line="240" w:lineRule="auto"/>
      <w:ind w:left="357" w:hanging="357"/>
      <w:contextualSpacing/>
    </w:pPr>
  </w:style>
  <w:style w:type="paragraph" w:styleId="ListNumber">
    <w:name w:val="List Number"/>
    <w:basedOn w:val="Normal"/>
    <w:uiPriority w:val="4"/>
    <w:qFormat/>
    <w:rsid w:val="0031113C"/>
    <w:pPr>
      <w:numPr>
        <w:numId w:val="4"/>
      </w:numPr>
      <w:spacing w:before="120" w:after="120" w:line="360" w:lineRule="auto"/>
      <w:contextualSpacing/>
    </w:pPr>
  </w:style>
  <w:style w:type="paragraph" w:styleId="ListBullet2">
    <w:name w:val="List Bullet 2"/>
    <w:basedOn w:val="Normal"/>
    <w:uiPriority w:val="4"/>
    <w:qFormat/>
    <w:rsid w:val="0031113C"/>
    <w:pPr>
      <w:numPr>
        <w:numId w:val="5"/>
      </w:numPr>
      <w:spacing w:before="120" w:after="120" w:line="360" w:lineRule="auto"/>
      <w:contextualSpacing/>
    </w:pPr>
  </w:style>
  <w:style w:type="paragraph" w:styleId="ListBullet3">
    <w:name w:val="List Bullet 3"/>
    <w:basedOn w:val="Normal"/>
    <w:uiPriority w:val="4"/>
    <w:qFormat/>
    <w:rsid w:val="0031113C"/>
    <w:pPr>
      <w:numPr>
        <w:numId w:val="6"/>
      </w:numPr>
      <w:spacing w:before="120" w:after="120" w:line="360" w:lineRule="auto"/>
      <w:contextualSpacing/>
    </w:pPr>
  </w:style>
  <w:style w:type="paragraph" w:styleId="ListBullet4">
    <w:name w:val="List Bullet 4"/>
    <w:basedOn w:val="Normal"/>
    <w:uiPriority w:val="4"/>
    <w:qFormat/>
    <w:rsid w:val="0031113C"/>
    <w:pPr>
      <w:numPr>
        <w:numId w:val="7"/>
      </w:numPr>
      <w:spacing w:before="120" w:after="240" w:line="360" w:lineRule="auto"/>
      <w:contextualSpacing/>
    </w:pPr>
  </w:style>
  <w:style w:type="paragraph" w:styleId="ListNumber2">
    <w:name w:val="List Number 2"/>
    <w:basedOn w:val="Normal"/>
    <w:uiPriority w:val="4"/>
    <w:qFormat/>
    <w:rsid w:val="0031113C"/>
    <w:pPr>
      <w:numPr>
        <w:numId w:val="8"/>
      </w:numPr>
      <w:spacing w:before="120" w:after="120" w:line="360" w:lineRule="auto"/>
      <w:contextualSpacing/>
    </w:pPr>
  </w:style>
  <w:style w:type="paragraph" w:styleId="ListNumber3">
    <w:name w:val="List Number 3"/>
    <w:basedOn w:val="Normal"/>
    <w:uiPriority w:val="4"/>
    <w:qFormat/>
    <w:rsid w:val="0031113C"/>
    <w:pPr>
      <w:numPr>
        <w:numId w:val="9"/>
      </w:numPr>
      <w:spacing w:before="120" w:after="120" w:line="360" w:lineRule="auto"/>
      <w:contextualSpacing/>
    </w:pPr>
  </w:style>
  <w:style w:type="paragraph" w:styleId="ListNumber4">
    <w:name w:val="List Number 4"/>
    <w:basedOn w:val="Normal"/>
    <w:uiPriority w:val="4"/>
    <w:qFormat/>
    <w:rsid w:val="0031113C"/>
    <w:pPr>
      <w:numPr>
        <w:numId w:val="10"/>
      </w:numPr>
      <w:spacing w:before="120" w:after="120" w:line="360" w:lineRule="auto"/>
      <w:contextualSpacing/>
    </w:pPr>
  </w:style>
  <w:style w:type="character" w:styleId="Emphasis">
    <w:name w:val="Emphasis"/>
    <w:aliases w:val="Body italic emphasis"/>
    <w:basedOn w:val="DefaultParagraphFont"/>
    <w:uiPriority w:val="3"/>
    <w:qFormat/>
    <w:rsid w:val="0031113C"/>
    <w:rPr>
      <w:i/>
      <w:color w:val="auto"/>
      <w:sz w:val="20"/>
    </w:rPr>
  </w:style>
  <w:style w:type="paragraph" w:styleId="TOCHeading">
    <w:name w:val="TOC Heading"/>
    <w:basedOn w:val="Heading1"/>
    <w:next w:val="Normal"/>
    <w:uiPriority w:val="39"/>
    <w:semiHidden/>
    <w:qFormat/>
    <w:rsid w:val="0031113C"/>
    <w:pPr>
      <w:pBdr>
        <w:bottom w:val="none" w:sz="0" w:space="0" w:color="auto"/>
      </w:pBdr>
      <w:spacing w:before="240" w:after="0" w:line="259" w:lineRule="auto"/>
      <w:outlineLvl w:val="9"/>
    </w:pPr>
    <w:rPr>
      <w:rFonts w:asciiTheme="majorHAnsi" w:hAnsiTheme="majorHAnsi"/>
      <w:color w:val="1E2555" w:themeColor="accent1" w:themeShade="BF"/>
      <w:sz w:val="32"/>
    </w:rPr>
  </w:style>
  <w:style w:type="character" w:styleId="FootnoteReference">
    <w:name w:val="footnote reference"/>
    <w:basedOn w:val="DefaultParagraphFont"/>
    <w:uiPriority w:val="99"/>
    <w:semiHidden/>
    <w:rsid w:val="007B01B9"/>
    <w:rPr>
      <w:vertAlign w:val="superscript"/>
    </w:rPr>
  </w:style>
  <w:style w:type="paragraph" w:customStyle="1" w:styleId="FootnoteText1">
    <w:name w:val="Footnote Text1"/>
    <w:basedOn w:val="FootnoteText"/>
    <w:next w:val="Normal"/>
    <w:uiPriority w:val="5"/>
    <w:rsid w:val="007B01B9"/>
  </w:style>
  <w:style w:type="paragraph" w:customStyle="1" w:styleId="DocumentTitle26pt">
    <w:name w:val="Document Title + 26 pt"/>
    <w:rsid w:val="00702C86"/>
    <w:rPr>
      <w:rFonts w:ascii="Arial" w:eastAsiaTheme="majorEastAsia" w:hAnsi="Arial" w:cstheme="majorBidi"/>
      <w:b/>
      <w:bCs/>
      <w:color w:val="293272" w:themeColor="accent1"/>
      <w:sz w:val="52"/>
      <w:szCs w:val="26"/>
    </w:rPr>
  </w:style>
  <w:style w:type="character" w:styleId="Hyperlink">
    <w:name w:val="Hyperlink"/>
    <w:basedOn w:val="DefaultParagraphFont"/>
    <w:uiPriority w:val="99"/>
    <w:unhideWhenUsed/>
    <w:rsid w:val="009B1A9B"/>
    <w:rPr>
      <w:color w:val="2C6DA6" w:themeColor="hyperlink"/>
      <w:u w:val="single"/>
    </w:rPr>
  </w:style>
  <w:style w:type="character" w:styleId="UnresolvedMention">
    <w:name w:val="Unresolved Mention"/>
    <w:basedOn w:val="DefaultParagraphFont"/>
    <w:uiPriority w:val="99"/>
    <w:semiHidden/>
    <w:unhideWhenUsed/>
    <w:rsid w:val="009B1A9B"/>
    <w:rPr>
      <w:color w:val="605E5C"/>
      <w:shd w:val="clear" w:color="auto" w:fill="E1DFDD"/>
    </w:rPr>
  </w:style>
  <w:style w:type="paragraph" w:customStyle="1" w:styleId="Dotpoint">
    <w:name w:val="Dot point"/>
    <w:basedOn w:val="ListParagraph"/>
    <w:link w:val="DotpointChar"/>
    <w:autoRedefine/>
    <w:qFormat/>
    <w:rsid w:val="000D357E"/>
    <w:pPr>
      <w:spacing w:after="0" w:line="240" w:lineRule="auto"/>
      <w:ind w:left="0"/>
    </w:pPr>
    <w:rPr>
      <w:rFonts w:ascii="Aptos" w:eastAsia="Times New Roman" w:hAnsi="Aptos" w:cstheme="minorHAnsi"/>
      <w:i/>
      <w:iCs/>
      <w:sz w:val="22"/>
    </w:rPr>
  </w:style>
  <w:style w:type="character" w:customStyle="1" w:styleId="DotpointChar">
    <w:name w:val="Dot point Char"/>
    <w:basedOn w:val="DefaultParagraphFont"/>
    <w:link w:val="Dotpoint"/>
    <w:rsid w:val="000D357E"/>
    <w:rPr>
      <w:rFonts w:ascii="Aptos" w:eastAsia="Times New Roman" w:hAnsi="Aptos" w:cstheme="minorHAnsi"/>
      <w:i/>
      <w:iCs/>
    </w:rPr>
  </w:style>
  <w:style w:type="table" w:styleId="ListTable4-Accent1">
    <w:name w:val="List Table 4 Accent 1"/>
    <w:basedOn w:val="TableNormal"/>
    <w:uiPriority w:val="49"/>
    <w:rsid w:val="00C72B5D"/>
    <w:pPr>
      <w:spacing w:after="0" w:line="240" w:lineRule="auto"/>
    </w:pPr>
    <w:tblPr>
      <w:tblStyleRowBandSize w:val="1"/>
      <w:tblStyleColBandSize w:val="1"/>
      <w:tblBorders>
        <w:top w:val="single" w:sz="4" w:space="0" w:color="626EC6" w:themeColor="accent1" w:themeTint="99"/>
        <w:left w:val="single" w:sz="4" w:space="0" w:color="626EC6" w:themeColor="accent1" w:themeTint="99"/>
        <w:bottom w:val="single" w:sz="4" w:space="0" w:color="626EC6" w:themeColor="accent1" w:themeTint="99"/>
        <w:right w:val="single" w:sz="4" w:space="0" w:color="626EC6" w:themeColor="accent1" w:themeTint="99"/>
        <w:insideH w:val="single" w:sz="4" w:space="0" w:color="626EC6" w:themeColor="accent1" w:themeTint="99"/>
      </w:tblBorders>
    </w:tblPr>
    <w:tblStylePr w:type="firstRow">
      <w:rPr>
        <w:b/>
        <w:bCs/>
        <w:color w:val="FFFFFF" w:themeColor="background1"/>
      </w:rPr>
      <w:tblPr/>
      <w:tcPr>
        <w:tcBorders>
          <w:top w:val="single" w:sz="4" w:space="0" w:color="293272" w:themeColor="accent1"/>
          <w:left w:val="single" w:sz="4" w:space="0" w:color="293272" w:themeColor="accent1"/>
          <w:bottom w:val="single" w:sz="4" w:space="0" w:color="293272" w:themeColor="accent1"/>
          <w:right w:val="single" w:sz="4" w:space="0" w:color="293272" w:themeColor="accent1"/>
          <w:insideH w:val="nil"/>
        </w:tcBorders>
        <w:shd w:val="clear" w:color="auto" w:fill="293272" w:themeFill="accent1"/>
      </w:tcPr>
    </w:tblStylePr>
    <w:tblStylePr w:type="lastRow">
      <w:rPr>
        <w:b/>
        <w:bCs/>
      </w:rPr>
      <w:tblPr/>
      <w:tcPr>
        <w:tcBorders>
          <w:top w:val="double" w:sz="4" w:space="0" w:color="626EC6" w:themeColor="accent1" w:themeTint="99"/>
        </w:tcBorders>
      </w:tcPr>
    </w:tblStylePr>
    <w:tblStylePr w:type="firstCol">
      <w:rPr>
        <w:b/>
        <w:bCs/>
      </w:rPr>
    </w:tblStylePr>
    <w:tblStylePr w:type="lastCol">
      <w:rPr>
        <w:b/>
        <w:bCs/>
      </w:rPr>
    </w:tblStylePr>
    <w:tblStylePr w:type="band1Vert">
      <w:tblPr/>
      <w:tcPr>
        <w:shd w:val="clear" w:color="auto" w:fill="CACEEC" w:themeFill="accent1" w:themeFillTint="33"/>
      </w:tcPr>
    </w:tblStylePr>
    <w:tblStylePr w:type="band1Horz">
      <w:tblPr/>
      <w:tcPr>
        <w:shd w:val="clear" w:color="auto" w:fill="CACEEC" w:themeFill="accent1" w:themeFillTint="33"/>
      </w:tcPr>
    </w:tblStylePr>
  </w:style>
  <w:style w:type="paragraph" w:styleId="CommentText">
    <w:name w:val="annotation text"/>
    <w:basedOn w:val="Normal"/>
    <w:link w:val="CommentTextChar"/>
    <w:uiPriority w:val="99"/>
    <w:semiHidden/>
    <w:unhideWhenUsed/>
    <w:rsid w:val="00EA333F"/>
    <w:pPr>
      <w:spacing w:line="240" w:lineRule="auto"/>
    </w:pPr>
    <w:rPr>
      <w:szCs w:val="20"/>
    </w:rPr>
  </w:style>
  <w:style w:type="character" w:customStyle="1" w:styleId="CommentTextChar">
    <w:name w:val="Comment Text Char"/>
    <w:basedOn w:val="DefaultParagraphFont"/>
    <w:link w:val="CommentText"/>
    <w:uiPriority w:val="99"/>
    <w:semiHidden/>
    <w:rsid w:val="00EA333F"/>
    <w:rPr>
      <w:rFonts w:ascii="Arial" w:hAnsi="Arial"/>
      <w:sz w:val="20"/>
      <w:szCs w:val="20"/>
    </w:rPr>
  </w:style>
  <w:style w:type="character" w:styleId="CommentReference">
    <w:name w:val="annotation reference"/>
    <w:basedOn w:val="DefaultParagraphFont"/>
    <w:uiPriority w:val="99"/>
    <w:semiHidden/>
    <w:unhideWhenUsed/>
    <w:rsid w:val="00EA333F"/>
    <w:rPr>
      <w:sz w:val="16"/>
      <w:szCs w:val="16"/>
    </w:rPr>
  </w:style>
  <w:style w:type="character" w:styleId="FollowedHyperlink">
    <w:name w:val="FollowedHyperlink"/>
    <w:basedOn w:val="DefaultParagraphFont"/>
    <w:uiPriority w:val="99"/>
    <w:semiHidden/>
    <w:unhideWhenUsed/>
    <w:rsid w:val="00EA333F"/>
    <w:rPr>
      <w:color w:val="2C6DA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0584">
      <w:bodyDiv w:val="1"/>
      <w:marLeft w:val="0"/>
      <w:marRight w:val="0"/>
      <w:marTop w:val="0"/>
      <w:marBottom w:val="0"/>
      <w:divBdr>
        <w:top w:val="none" w:sz="0" w:space="0" w:color="auto"/>
        <w:left w:val="none" w:sz="0" w:space="0" w:color="auto"/>
        <w:bottom w:val="none" w:sz="0" w:space="0" w:color="auto"/>
        <w:right w:val="none" w:sz="0" w:space="0" w:color="auto"/>
      </w:divBdr>
    </w:div>
    <w:div w:id="1534730832">
      <w:bodyDiv w:val="1"/>
      <w:marLeft w:val="0"/>
      <w:marRight w:val="0"/>
      <w:marTop w:val="0"/>
      <w:marBottom w:val="0"/>
      <w:divBdr>
        <w:top w:val="none" w:sz="0" w:space="0" w:color="auto"/>
        <w:left w:val="none" w:sz="0" w:space="0" w:color="auto"/>
        <w:bottom w:val="none" w:sz="0" w:space="0" w:color="auto"/>
        <w:right w:val="none" w:sz="0" w:space="0" w:color="auto"/>
      </w:divBdr>
    </w:div>
    <w:div w:id="1564097430">
      <w:bodyDiv w:val="1"/>
      <w:marLeft w:val="0"/>
      <w:marRight w:val="0"/>
      <w:marTop w:val="0"/>
      <w:marBottom w:val="0"/>
      <w:divBdr>
        <w:top w:val="none" w:sz="0" w:space="0" w:color="auto"/>
        <w:left w:val="none" w:sz="0" w:space="0" w:color="auto"/>
        <w:bottom w:val="none" w:sz="0" w:space="0" w:color="auto"/>
        <w:right w:val="none" w:sz="0" w:space="0" w:color="auto"/>
      </w:divBdr>
    </w:div>
    <w:div w:id="1685983041">
      <w:bodyDiv w:val="1"/>
      <w:marLeft w:val="0"/>
      <w:marRight w:val="0"/>
      <w:marTop w:val="0"/>
      <w:marBottom w:val="0"/>
      <w:divBdr>
        <w:top w:val="none" w:sz="0" w:space="0" w:color="auto"/>
        <w:left w:val="none" w:sz="0" w:space="0" w:color="auto"/>
        <w:bottom w:val="none" w:sz="0" w:space="0" w:color="auto"/>
        <w:right w:val="none" w:sz="0" w:space="0" w:color="auto"/>
      </w:divBdr>
    </w:div>
    <w:div w:id="201001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introducing-mymedicare-fact-sheet?language=en" TargetMode="External"/><Relationship Id="rId18" Type="http://schemas.openxmlformats.org/officeDocument/2006/relationships/hyperlink" Target="https://my.gov.au/en/create-account/" TargetMode="External"/><Relationship Id="rId26" Type="http://schemas.openxmlformats.org/officeDocument/2006/relationships/hyperlink" Target="https://www9.health.gov.au/mbs/fullDisplay.cfm?type=note&amp;qt=NoteID&amp;q=AN.0.47" TargetMode="External"/><Relationship Id="rId3" Type="http://schemas.openxmlformats.org/officeDocument/2006/relationships/customXml" Target="../customXml/item3.xml"/><Relationship Id="rId21" Type="http://schemas.openxmlformats.org/officeDocument/2006/relationships/hyperlink" Target="https://hpe.servicesaustralia.gov.au/MODULES/MYMED/MYMEDM02/index.html" TargetMode="External"/><Relationship Id="rId7" Type="http://schemas.openxmlformats.org/officeDocument/2006/relationships/settings" Target="settings.xml"/><Relationship Id="rId12" Type="http://schemas.openxmlformats.org/officeDocument/2006/relationships/hyperlink" Target="https://www.health.gov.au/our-work/mymedicare/about" TargetMode="External"/><Relationship Id="rId17" Type="http://schemas.openxmlformats.org/officeDocument/2006/relationships/hyperlink" Target="https://my.gov.au/en" TargetMode="External"/><Relationship Id="rId25" Type="http://schemas.openxmlformats.org/officeDocument/2006/relationships/hyperlink" Target="https://www.health.gov.au/our-work/mymedicare/patients" TargetMode="External"/><Relationship Id="rId2" Type="http://schemas.openxmlformats.org/officeDocument/2006/relationships/customXml" Target="../customXml/item2.xml"/><Relationship Id="rId16" Type="http://schemas.openxmlformats.org/officeDocument/2006/relationships/hyperlink" Target="https://url.au.m.mimecastprotect.com/s/ELKkCmO5YkfjPQzPFGfruRuLfl?domain=health.gov.au" TargetMode="External"/><Relationship Id="rId20" Type="http://schemas.openxmlformats.org/officeDocument/2006/relationships/hyperlink" Target="https://www.health.gov.au/resources/publications/mymedicare-registration-form?language=e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topics/medicare?language=und" TargetMode="External"/><Relationship Id="rId24" Type="http://schemas.openxmlformats.org/officeDocument/2006/relationships/hyperlink" Target="https://hpe.servicesaustralia.gov.au/INFO/ORGREG/ORGREGINFO10.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gov.au/our-work/better-access-initiative" TargetMode="External"/><Relationship Id="rId23" Type="http://schemas.openxmlformats.org/officeDocument/2006/relationships/hyperlink" Target="mailto:mymedicare@serviceaustralia.gov.au" TargetMode="External"/><Relationship Id="rId28" Type="http://schemas.openxmlformats.org/officeDocument/2006/relationships/hyperlink" Target="https://www.health.gov.au/our-work/mymedicare/patients" TargetMode="External"/><Relationship Id="rId10" Type="http://schemas.openxmlformats.org/officeDocument/2006/relationships/endnotes" Target="endnotes.xml"/><Relationship Id="rId19" Type="http://schemas.openxmlformats.org/officeDocument/2006/relationships/hyperlink" Target="https://my.gov.au/en/about/help/mygov-website/link-services-to-your-account/link-medicar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publications/mymedicare-and-chronic-condition-management-mbs-items-and-patient-case-studies?language=en" TargetMode="External"/><Relationship Id="rId22" Type="http://schemas.openxmlformats.org/officeDocument/2006/relationships/hyperlink" Target="mailto:MyMedicare@health.gov.au" TargetMode="External"/><Relationship Id="rId27" Type="http://schemas.openxmlformats.org/officeDocument/2006/relationships/hyperlink" Target="https://hpe.servicesaustralia.gov.au/INFO/ORGREG/ORGREGINFO10.pdf"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1">
      <a:dk1>
        <a:srgbClr val="FFFFFF"/>
      </a:dk1>
      <a:lt1>
        <a:srgbClr val="FFFFFF"/>
      </a:lt1>
      <a:dk2>
        <a:srgbClr val="74777B"/>
      </a:dk2>
      <a:lt2>
        <a:srgbClr val="484848"/>
      </a:lt2>
      <a:accent1>
        <a:srgbClr val="293272"/>
      </a:accent1>
      <a:accent2>
        <a:srgbClr val="2C6DA6"/>
      </a:accent2>
      <a:accent3>
        <a:srgbClr val="05A285"/>
      </a:accent3>
      <a:accent4>
        <a:srgbClr val="2753A5"/>
      </a:accent4>
      <a:accent5>
        <a:srgbClr val="36BBA2"/>
      </a:accent5>
      <a:accent6>
        <a:srgbClr val="DFF1F1"/>
      </a:accent6>
      <a:hlink>
        <a:srgbClr val="2C6DA6"/>
      </a:hlink>
      <a:folHlink>
        <a:srgbClr val="2C6DA6"/>
      </a:folHlink>
    </a:clrScheme>
    <a:fontScheme name="Brisbane North PH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d1716c-9572-42d3-b4bd-88656f632ec3" xsi:nil="true"/>
    <lcf76f155ced4ddcb4097134ff3c332f xmlns="f15114bf-cbc5-46b2-bf86-2f76ecbc1e48">
      <Terms xmlns="http://schemas.microsoft.com/office/infopath/2007/PartnerControls"/>
    </lcf76f155ced4ddcb4097134ff3c332f>
    <SharedWithUsers xmlns="41d1716c-9572-42d3-b4bd-88656f632ec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D4B0E5D82467D4EA717A55240F3E6FB" ma:contentTypeVersion="" ma:contentTypeDescription="Create a new document." ma:contentTypeScope="" ma:versionID="8ac7eee9f3e3e5cb2439a41b0a05e51b">
  <xsd:schema xmlns:xsd="http://www.w3.org/2001/XMLSchema" xmlns:xs="http://www.w3.org/2001/XMLSchema" xmlns:p="http://schemas.microsoft.com/office/2006/metadata/properties" xmlns:ns2="f15114bf-cbc5-46b2-bf86-2f76ecbc1e48" xmlns:ns3="41d1716c-9572-42d3-b4bd-88656f632ec3" targetNamespace="http://schemas.microsoft.com/office/2006/metadata/properties" ma:root="true" ma:fieldsID="3d94f26384aa75b80398e508756634e9" ns2:_="" ns3:_="">
    <xsd:import namespace="f15114bf-cbc5-46b2-bf86-2f76ecbc1e48"/>
    <xsd:import namespace="41d1716c-9572-42d3-b4bd-88656f632e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14bf-cbc5-46b2-bf86-2f76ecbc1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5a847b-6e58-404e-ba6a-6574a7c9e4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d1716c-9572-42d3-b4bd-88656f632e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03555b-cc2a-4c3a-a932-6a4c665ed67f}" ma:internalName="TaxCatchAll" ma:showField="CatchAllData" ma:web="41d1716c-9572-42d3-b4bd-88656f632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829E1E-82E6-4FDB-9175-7B31584375D9}">
  <ds:schemaRefs>
    <ds:schemaRef ds:uri="http://purl.org/dc/terms/"/>
    <ds:schemaRef ds:uri="http://www.w3.org/XML/1998/namespace"/>
    <ds:schemaRef ds:uri="http://schemas.openxmlformats.org/package/2006/metadata/core-properties"/>
    <ds:schemaRef ds:uri="http://schemas.microsoft.com/office/infopath/2007/PartnerControls"/>
    <ds:schemaRef ds:uri="f15114bf-cbc5-46b2-bf86-2f76ecbc1e48"/>
    <ds:schemaRef ds:uri="41d1716c-9572-42d3-b4bd-88656f632ec3"/>
    <ds:schemaRef ds:uri="http://schemas.microsoft.com/office/2006/documentManagement/types"/>
    <ds:schemaRef ds:uri="http://purl.org/dc/dcmityp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DBBEA02-696B-4059-8143-434F79B47F17}">
  <ds:schemaRefs>
    <ds:schemaRef ds:uri="http://schemas.microsoft.com/sharepoint/v3/contenttype/forms"/>
  </ds:schemaRefs>
</ds:datastoreItem>
</file>

<file path=customXml/itemProps3.xml><?xml version="1.0" encoding="utf-8"?>
<ds:datastoreItem xmlns:ds="http://schemas.openxmlformats.org/officeDocument/2006/customXml" ds:itemID="{3690C9C7-D09A-4E48-806B-50FC3FF19ECF}">
  <ds:schemaRefs>
    <ds:schemaRef ds:uri="http://schemas.openxmlformats.org/officeDocument/2006/bibliography"/>
  </ds:schemaRefs>
</ds:datastoreItem>
</file>

<file path=customXml/itemProps4.xml><?xml version="1.0" encoding="utf-8"?>
<ds:datastoreItem xmlns:ds="http://schemas.openxmlformats.org/officeDocument/2006/customXml" ds:itemID="{3FABB99B-32E2-40D2-B691-2C274802E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14bf-cbc5-46b2-bf86-2f76ecbc1e48"/>
    <ds:schemaRef ds:uri="41d1716c-9572-42d3-b4bd-88656f632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1550</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10366</CharactersWithSpaces>
  <SharedDoc>false</SharedDoc>
  <HLinks>
    <vt:vector size="96" baseType="variant">
      <vt:variant>
        <vt:i4>2752562</vt:i4>
      </vt:variant>
      <vt:variant>
        <vt:i4>45</vt:i4>
      </vt:variant>
      <vt:variant>
        <vt:i4>0</vt:i4>
      </vt:variant>
      <vt:variant>
        <vt:i4>5</vt:i4>
      </vt:variant>
      <vt:variant>
        <vt:lpwstr>https://www.health.gov.au/our-work/mymedicare/patients</vt:lpwstr>
      </vt:variant>
      <vt:variant>
        <vt:lpwstr>:~:text=Withdrawing%20your%20registration,-You%20can%20choose&amp;text=If%20you%20want%20to%20withdraw,withdraw%20your%20registration%20from%20MyMedicare</vt:lpwstr>
      </vt:variant>
      <vt:variant>
        <vt:i4>65559</vt:i4>
      </vt:variant>
      <vt:variant>
        <vt:i4>42</vt:i4>
      </vt:variant>
      <vt:variant>
        <vt:i4>0</vt:i4>
      </vt:variant>
      <vt:variant>
        <vt:i4>5</vt:i4>
      </vt:variant>
      <vt:variant>
        <vt:lpwstr>https://hpe.servicesaustralia.gov.au/INFO/ORGREG/ORGREGINFO10.pdf</vt:lpwstr>
      </vt:variant>
      <vt:variant>
        <vt:lpwstr/>
      </vt:variant>
      <vt:variant>
        <vt:i4>1441885</vt:i4>
      </vt:variant>
      <vt:variant>
        <vt:i4>39</vt:i4>
      </vt:variant>
      <vt:variant>
        <vt:i4>0</vt:i4>
      </vt:variant>
      <vt:variant>
        <vt:i4>5</vt:i4>
      </vt:variant>
      <vt:variant>
        <vt:lpwstr>https://www9.health.gov.au/mbs/fullDisplay.cfm?type=note&amp;qt=NoteID&amp;q=AN.0.47</vt:lpwstr>
      </vt:variant>
      <vt:variant>
        <vt:lpwstr/>
      </vt:variant>
      <vt:variant>
        <vt:i4>2752562</vt:i4>
      </vt:variant>
      <vt:variant>
        <vt:i4>36</vt:i4>
      </vt:variant>
      <vt:variant>
        <vt:i4>0</vt:i4>
      </vt:variant>
      <vt:variant>
        <vt:i4>5</vt:i4>
      </vt:variant>
      <vt:variant>
        <vt:lpwstr>https://www.health.gov.au/our-work/mymedicare/patients</vt:lpwstr>
      </vt:variant>
      <vt:variant>
        <vt:lpwstr>:~:text=Withdrawing%20your%20registration,-You%20can%20choose&amp;text=If%20you%20want%20to%20withdraw,withdraw%20your%20registration%20from%20MyMedicare</vt:lpwstr>
      </vt:variant>
      <vt:variant>
        <vt:i4>65559</vt:i4>
      </vt:variant>
      <vt:variant>
        <vt:i4>33</vt:i4>
      </vt:variant>
      <vt:variant>
        <vt:i4>0</vt:i4>
      </vt:variant>
      <vt:variant>
        <vt:i4>5</vt:i4>
      </vt:variant>
      <vt:variant>
        <vt:lpwstr>https://hpe.servicesaustralia.gov.au/INFO/ORGREG/ORGREGINFO10.pdf</vt:lpwstr>
      </vt:variant>
      <vt:variant>
        <vt:lpwstr/>
      </vt:variant>
      <vt:variant>
        <vt:i4>3801168</vt:i4>
      </vt:variant>
      <vt:variant>
        <vt:i4>30</vt:i4>
      </vt:variant>
      <vt:variant>
        <vt:i4>0</vt:i4>
      </vt:variant>
      <vt:variant>
        <vt:i4>5</vt:i4>
      </vt:variant>
      <vt:variant>
        <vt:lpwstr>mailto:mymedicare@serviceaustralia.gov.au</vt:lpwstr>
      </vt:variant>
      <vt:variant>
        <vt:lpwstr/>
      </vt:variant>
      <vt:variant>
        <vt:i4>4587561</vt:i4>
      </vt:variant>
      <vt:variant>
        <vt:i4>27</vt:i4>
      </vt:variant>
      <vt:variant>
        <vt:i4>0</vt:i4>
      </vt:variant>
      <vt:variant>
        <vt:i4>5</vt:i4>
      </vt:variant>
      <vt:variant>
        <vt:lpwstr>mailto:MyMedicare@health.gov.au</vt:lpwstr>
      </vt:variant>
      <vt:variant>
        <vt:lpwstr/>
      </vt:variant>
      <vt:variant>
        <vt:i4>7012386</vt:i4>
      </vt:variant>
      <vt:variant>
        <vt:i4>24</vt:i4>
      </vt:variant>
      <vt:variant>
        <vt:i4>0</vt:i4>
      </vt:variant>
      <vt:variant>
        <vt:i4>5</vt:i4>
      </vt:variant>
      <vt:variant>
        <vt:lpwstr>https://hpe.servicesaustralia.gov.au/MODULES/MYMED/MYMEDM02/index.html</vt:lpwstr>
      </vt:variant>
      <vt:variant>
        <vt:lpwstr/>
      </vt:variant>
      <vt:variant>
        <vt:i4>6029325</vt:i4>
      </vt:variant>
      <vt:variant>
        <vt:i4>21</vt:i4>
      </vt:variant>
      <vt:variant>
        <vt:i4>0</vt:i4>
      </vt:variant>
      <vt:variant>
        <vt:i4>5</vt:i4>
      </vt:variant>
      <vt:variant>
        <vt:lpwstr>https://www.health.gov.au/resources/publications/mymedicare-registration-form?language=en</vt:lpwstr>
      </vt:variant>
      <vt:variant>
        <vt:lpwstr/>
      </vt:variant>
      <vt:variant>
        <vt:i4>4522012</vt:i4>
      </vt:variant>
      <vt:variant>
        <vt:i4>18</vt:i4>
      </vt:variant>
      <vt:variant>
        <vt:i4>0</vt:i4>
      </vt:variant>
      <vt:variant>
        <vt:i4>5</vt:i4>
      </vt:variant>
      <vt:variant>
        <vt:lpwstr>https://my.gov.au/en/about/help/mygov-website/link-services-to-your-account/link-medicare</vt:lpwstr>
      </vt:variant>
      <vt:variant>
        <vt:lpwstr/>
      </vt:variant>
      <vt:variant>
        <vt:i4>4915208</vt:i4>
      </vt:variant>
      <vt:variant>
        <vt:i4>15</vt:i4>
      </vt:variant>
      <vt:variant>
        <vt:i4>0</vt:i4>
      </vt:variant>
      <vt:variant>
        <vt:i4>5</vt:i4>
      </vt:variant>
      <vt:variant>
        <vt:lpwstr>https://my.gov.au/en/create-account/</vt:lpwstr>
      </vt:variant>
      <vt:variant>
        <vt:lpwstr/>
      </vt:variant>
      <vt:variant>
        <vt:i4>5832786</vt:i4>
      </vt:variant>
      <vt:variant>
        <vt:i4>12</vt:i4>
      </vt:variant>
      <vt:variant>
        <vt:i4>0</vt:i4>
      </vt:variant>
      <vt:variant>
        <vt:i4>5</vt:i4>
      </vt:variant>
      <vt:variant>
        <vt:lpwstr>https://my.gov.au/en</vt:lpwstr>
      </vt:variant>
      <vt:variant>
        <vt:lpwstr/>
      </vt:variant>
      <vt:variant>
        <vt:i4>2490486</vt:i4>
      </vt:variant>
      <vt:variant>
        <vt:i4>9</vt:i4>
      </vt:variant>
      <vt:variant>
        <vt:i4>0</vt:i4>
      </vt:variant>
      <vt:variant>
        <vt:i4>5</vt:i4>
      </vt:variant>
      <vt:variant>
        <vt:lpwstr>https://www.health.gov.au/resources/publications/mymedicare-and-chronic-condition-management-mbs-items-and-patient-case-studies?language=en</vt:lpwstr>
      </vt:variant>
      <vt:variant>
        <vt:lpwstr/>
      </vt:variant>
      <vt:variant>
        <vt:i4>7012459</vt:i4>
      </vt:variant>
      <vt:variant>
        <vt:i4>6</vt:i4>
      </vt:variant>
      <vt:variant>
        <vt:i4>0</vt:i4>
      </vt:variant>
      <vt:variant>
        <vt:i4>5</vt:i4>
      </vt:variant>
      <vt:variant>
        <vt:lpwstr>https://www.health.gov.au/sites/default/files/2023-09/introducing-mymedicare-fact-sheet.pdf</vt:lpwstr>
      </vt:variant>
      <vt:variant>
        <vt:lpwstr/>
      </vt:variant>
      <vt:variant>
        <vt:i4>6750319</vt:i4>
      </vt:variant>
      <vt:variant>
        <vt:i4>3</vt:i4>
      </vt:variant>
      <vt:variant>
        <vt:i4>0</vt:i4>
      </vt:variant>
      <vt:variant>
        <vt:i4>5</vt:i4>
      </vt:variant>
      <vt:variant>
        <vt:lpwstr>https://www.health.gov.au/our-work/mymedicare/about</vt:lpwstr>
      </vt:variant>
      <vt:variant>
        <vt:lpwstr/>
      </vt:variant>
      <vt:variant>
        <vt:i4>3604516</vt:i4>
      </vt:variant>
      <vt:variant>
        <vt:i4>0</vt:i4>
      </vt:variant>
      <vt:variant>
        <vt:i4>0</vt:i4>
      </vt:variant>
      <vt:variant>
        <vt:i4>5</vt:i4>
      </vt:variant>
      <vt:variant>
        <vt:lpwstr>https://www.health.gov.au/topics/medicare?language=und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Rajendra Joshi</dc:creator>
  <cp:keywords/>
  <cp:lastModifiedBy>Alana Court</cp:lastModifiedBy>
  <cp:revision>2</cp:revision>
  <cp:lastPrinted>2015-08-24T17:46:00Z</cp:lastPrinted>
  <dcterms:created xsi:type="dcterms:W3CDTF">2025-11-06T22:03:00Z</dcterms:created>
  <dcterms:modified xsi:type="dcterms:W3CDTF">2025-11-06T22:03:00Z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0x010100BD4B0E5D82467D4EA717A55240F3E6FB</vt:lpwstr>
  </property>
  <property fmtid="{D5CDD505-2E9C-101B-9397-08002B2CF9AE}" pid="3" name="Order">
    <vt:r8>14491600</vt:r8>
  </property>
  <property fmtid="{D5CDD505-2E9C-101B-9397-08002B2CF9AE}" pid="4" name="xd_Signature">
    <vt:bool>false</vt:bool>
  </property>
  <property fmtid="{D5CDD505-2E9C-101B-9397-08002B2CF9AE}" pid="5" name="xd_ProgID">
    <vt:lpwstr/>
  </property>
  <property fmtid="{D5CDD505-2E9C-101B-9397-08002B2CF9AE}" pid="6" name="Approved">
    <vt:bool>false</vt:bool>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docLang">
    <vt:lpwstr>en</vt:lpwstr>
  </property>
</Properties>
</file>